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704" w:rsidRDefault="00D26704" w:rsidP="00892D4F">
      <w:pPr>
        <w:widowControl w:val="0"/>
        <w:spacing w:line="140" w:lineRule="atLeast"/>
        <w:rPr>
          <w:rFonts w:ascii="Arial" w:hAnsi="Arial" w:cs="Arial"/>
          <w:b/>
          <w:bCs/>
          <w:i/>
          <w:sz w:val="32"/>
        </w:rPr>
      </w:pPr>
    </w:p>
    <w:p w:rsidR="00470A79" w:rsidRDefault="00470A79" w:rsidP="00470A79">
      <w:pPr>
        <w:widowControl w:val="0"/>
        <w:spacing w:line="140" w:lineRule="atLeast"/>
        <w:jc w:val="center"/>
        <w:rPr>
          <w:rFonts w:ascii="Arial" w:hAnsi="Arial" w:cs="Arial"/>
          <w:b/>
          <w:bCs/>
          <w:i/>
          <w:sz w:val="32"/>
        </w:rPr>
      </w:pPr>
      <w:r>
        <w:rPr>
          <w:rFonts w:ascii="Arial" w:hAnsi="Arial" w:cs="Arial"/>
          <w:b/>
          <w:bCs/>
          <w:i/>
          <w:sz w:val="32"/>
        </w:rPr>
        <w:t xml:space="preserve">Ricardo Fernando </w:t>
      </w:r>
      <w:proofErr w:type="spellStart"/>
      <w:r>
        <w:rPr>
          <w:rFonts w:ascii="Arial" w:hAnsi="Arial" w:cs="Arial"/>
          <w:b/>
          <w:bCs/>
          <w:i/>
          <w:sz w:val="32"/>
        </w:rPr>
        <w:t>Biasone</w:t>
      </w:r>
      <w:proofErr w:type="spellEnd"/>
      <w:r>
        <w:rPr>
          <w:rFonts w:ascii="Arial" w:hAnsi="Arial" w:cs="Arial"/>
          <w:b/>
          <w:bCs/>
          <w:i/>
          <w:sz w:val="32"/>
        </w:rPr>
        <w:t xml:space="preserve"> dos Reis Lima</w:t>
      </w:r>
    </w:p>
    <w:p w:rsidR="00470A79" w:rsidRDefault="00470A79" w:rsidP="00470A79">
      <w:pPr>
        <w:widowControl w:val="0"/>
        <w:spacing w:line="140" w:lineRule="atLeast"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44 anos, divorciado, natural de São Paulo – SP</w:t>
      </w:r>
    </w:p>
    <w:p w:rsidR="00470A79" w:rsidRDefault="00470A79" w:rsidP="00470A79">
      <w:pPr>
        <w:widowControl w:val="0"/>
        <w:spacing w:line="140" w:lineRule="atLeast"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Av. </w:t>
      </w:r>
      <w:r w:rsidRPr="00047287">
        <w:rPr>
          <w:b/>
          <w:bCs/>
          <w:sz w:val="21"/>
          <w:szCs w:val="21"/>
        </w:rPr>
        <w:t xml:space="preserve">Eugênio </w:t>
      </w:r>
      <w:proofErr w:type="spellStart"/>
      <w:proofErr w:type="gramStart"/>
      <w:r w:rsidRPr="00047287">
        <w:rPr>
          <w:b/>
          <w:bCs/>
          <w:sz w:val="21"/>
          <w:szCs w:val="21"/>
        </w:rPr>
        <w:t>krause</w:t>
      </w:r>
      <w:proofErr w:type="spellEnd"/>
      <w:r w:rsidRPr="00047287">
        <w:rPr>
          <w:b/>
          <w:bCs/>
          <w:sz w:val="21"/>
          <w:szCs w:val="21"/>
        </w:rPr>
        <w:t xml:space="preserve"> ,</w:t>
      </w:r>
      <w:proofErr w:type="gramEnd"/>
      <w:r w:rsidRPr="00047287">
        <w:rPr>
          <w:b/>
          <w:bCs/>
          <w:sz w:val="21"/>
          <w:szCs w:val="21"/>
        </w:rPr>
        <w:t>129 AP.101</w:t>
      </w:r>
      <w:r>
        <w:rPr>
          <w:b/>
          <w:bCs/>
          <w:sz w:val="21"/>
          <w:szCs w:val="21"/>
        </w:rPr>
        <w:t xml:space="preserve"> -  C</w:t>
      </w:r>
      <w:r w:rsidRPr="00047287">
        <w:rPr>
          <w:b/>
          <w:bCs/>
          <w:sz w:val="21"/>
          <w:szCs w:val="21"/>
        </w:rPr>
        <w:t>entro</w:t>
      </w:r>
      <w:r>
        <w:rPr>
          <w:b/>
          <w:bCs/>
          <w:sz w:val="21"/>
          <w:szCs w:val="21"/>
        </w:rPr>
        <w:t xml:space="preserve">-  Penha- </w:t>
      </w:r>
      <w:r w:rsidRPr="00047287">
        <w:rPr>
          <w:b/>
          <w:bCs/>
          <w:sz w:val="21"/>
          <w:szCs w:val="21"/>
        </w:rPr>
        <w:t>SC</w:t>
      </w:r>
    </w:p>
    <w:p w:rsidR="00470A79" w:rsidRDefault="00470A79" w:rsidP="00470A79">
      <w:pPr>
        <w:widowControl w:val="0"/>
        <w:spacing w:line="140" w:lineRule="atLeast"/>
        <w:jc w:val="center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Fone:</w:t>
      </w:r>
      <w:proofErr w:type="gramStart"/>
      <w:r>
        <w:rPr>
          <w:b/>
          <w:bCs/>
          <w:sz w:val="21"/>
          <w:szCs w:val="21"/>
        </w:rPr>
        <w:t xml:space="preserve">  </w:t>
      </w:r>
      <w:proofErr w:type="gramEnd"/>
      <w:r>
        <w:rPr>
          <w:b/>
          <w:bCs/>
          <w:sz w:val="21"/>
          <w:szCs w:val="21"/>
        </w:rPr>
        <w:t xml:space="preserve">(47) 9792-2047 / (11) 98020-6631 </w:t>
      </w:r>
      <w:proofErr w:type="spellStart"/>
      <w:r>
        <w:rPr>
          <w:b/>
          <w:bCs/>
          <w:sz w:val="21"/>
          <w:szCs w:val="21"/>
        </w:rPr>
        <w:t>watsaap</w:t>
      </w:r>
      <w:proofErr w:type="spellEnd"/>
    </w:p>
    <w:p w:rsidR="00470A79" w:rsidRDefault="00470A79" w:rsidP="00470A79">
      <w:pPr>
        <w:widowControl w:val="0"/>
        <w:spacing w:line="140" w:lineRule="atLeast"/>
        <w:jc w:val="center"/>
      </w:pPr>
      <w:proofErr w:type="gramStart"/>
      <w:r>
        <w:t>e-mail</w:t>
      </w:r>
      <w:proofErr w:type="gramEnd"/>
      <w:r>
        <w:t>: rickbias.rb@gmail.com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700"/>
        <w:gridCol w:w="1701"/>
        <w:gridCol w:w="1701"/>
        <w:gridCol w:w="1701"/>
        <w:gridCol w:w="1701"/>
      </w:tblGrid>
      <w:tr w:rsidR="00515612" w:rsidRPr="007F31F3" w:rsidTr="0051561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D26704" w:rsidRDefault="00D26704" w:rsidP="00515612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4"/>
                <w:szCs w:val="24"/>
                <w:lang w:eastAsia="pt-BR"/>
              </w:rPr>
            </w:pPr>
          </w:p>
          <w:p w:rsidR="00515612" w:rsidRPr="00515612" w:rsidRDefault="00515612" w:rsidP="005156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15612">
              <w:rPr>
                <w:rFonts w:ascii="Verdana" w:eastAsia="Times New Roman" w:hAnsi="Verdana"/>
                <w:b/>
                <w:bCs/>
                <w:sz w:val="24"/>
                <w:szCs w:val="24"/>
                <w:lang w:eastAsia="pt-BR"/>
              </w:rPr>
              <w:t>Objetivo</w:t>
            </w:r>
          </w:p>
        </w:tc>
      </w:tr>
      <w:tr w:rsidR="00515612" w:rsidRPr="007F31F3" w:rsidTr="0051561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15612" w:rsidRPr="00515612" w:rsidRDefault="00515612" w:rsidP="00515612">
            <w:pPr>
              <w:spacing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proofErr w:type="gram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administrativo</w:t>
            </w:r>
            <w:proofErr w:type="gram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, financeiro, compras, fiscal, estagio .</w:t>
            </w:r>
          </w:p>
        </w:tc>
      </w:tr>
      <w:tr w:rsidR="00515612" w:rsidRPr="007F31F3" w:rsidTr="00515612">
        <w:trPr>
          <w:tblCellSpacing w:w="0" w:type="dxa"/>
        </w:trPr>
        <w:tc>
          <w:tcPr>
            <w:tcW w:w="1000" w:type="pct"/>
            <w:hideMark/>
          </w:tcPr>
          <w:p w:rsidR="00515612" w:rsidRPr="00515612" w:rsidRDefault="00515612" w:rsidP="005156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1561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515612" w:rsidRPr="00515612" w:rsidRDefault="00515612" w:rsidP="005156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1561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515612" w:rsidRPr="00515612" w:rsidRDefault="00515612" w:rsidP="005156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1561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515612" w:rsidRPr="00515612" w:rsidRDefault="00515612" w:rsidP="005156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1561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515612" w:rsidRPr="00515612" w:rsidRDefault="00515612" w:rsidP="005156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1561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515612" w:rsidRPr="007F31F3" w:rsidTr="0051561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15612" w:rsidRPr="00515612" w:rsidRDefault="00515612" w:rsidP="005156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15612">
              <w:rPr>
                <w:rFonts w:ascii="Verdana" w:eastAsia="Times New Roman" w:hAnsi="Verdana"/>
                <w:b/>
                <w:bCs/>
                <w:sz w:val="24"/>
                <w:szCs w:val="24"/>
                <w:lang w:eastAsia="pt-BR"/>
              </w:rPr>
              <w:t>Perfil profissional</w:t>
            </w:r>
          </w:p>
        </w:tc>
      </w:tr>
      <w:tr w:rsidR="00515612" w:rsidRPr="007F31F3" w:rsidTr="0051561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336B84" w:rsidRDefault="00336B84" w:rsidP="00515612">
            <w:pPr>
              <w:spacing w:beforeAutospacing="1" w:after="100" w:afterAutospacing="1" w:line="240" w:lineRule="auto"/>
              <w:rPr>
                <w:rFonts w:ascii="Verdana" w:eastAsia="Times New Roman" w:hAnsi="Verdana"/>
                <w:sz w:val="20"/>
                <w:szCs w:val="20"/>
                <w:lang w:eastAsia="pt-BR"/>
              </w:rPr>
            </w:pPr>
          </w:p>
          <w:p w:rsidR="007E53D1" w:rsidRDefault="00D43226" w:rsidP="00D43226">
            <w:pPr>
              <w:spacing w:before="100" w:beforeAutospacing="1" w:after="100" w:afterAutospacing="1" w:line="240" w:lineRule="auto"/>
              <w:rPr>
                <w:rFonts w:ascii="Verdana" w:eastAsia="Times New Roman" w:hAnsi="Verdana"/>
                <w:sz w:val="20"/>
                <w:szCs w:val="20"/>
                <w:lang w:eastAsia="pt-BR"/>
              </w:rPr>
            </w:pP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Almoxarifado</w:t>
            </w:r>
            <w:r w:rsidRPr="00515612">
              <w:rPr>
                <w:rFonts w:ascii="Verdana" w:eastAsia="Times New Roman" w:hAnsi="Verdana"/>
                <w:sz w:val="20"/>
                <w:lang w:eastAsia="pt-BR"/>
              </w:rPr>
              <w:t> 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br/>
              <w:t xml:space="preserve">Orientação e controle dos serviços de almoxarifado, recebendo, estocando e distribuindo os materiais. Conferencia do estoque, examinar periodicamente o volume de mercadorias e calcular necessidades futuras. Controle do recebimento de material, confrontar com as requisições e especificações com as notas / material entregue. Organização do </w:t>
            </w:r>
            <w:proofErr w:type="spell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armazem</w:t>
            </w:r>
            <w:proofErr w:type="spell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 dos produtos e materiais, com identificação e disposição adequadas visando o racional. Realização dos registros dos materiais sob guarda nos depósitos, registro dos dados em terminais de computador ou em livros, fichas e mapas apropriados, para que seja vista a situação real do almoxarifado. Realização de inventários e balanços do almoxarifado. Coordenação e controle do trabalho das equipes de até 15 pessoas. Checagem de ferramentas e equipamentos no ato da devolução das obras, envio de equipamentos para conserto ou revisão, acompanhamento de </w:t>
            </w:r>
            <w:proofErr w:type="gram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OS para recebimento do equipamento, emissão</w:t>
            </w:r>
            <w:proofErr w:type="gram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 de relatórios, emissão de notas fiscais de saída e de entrada (simples remessa, vendas, devolução de produtos).</w:t>
            </w:r>
          </w:p>
          <w:p w:rsidR="007E53D1" w:rsidRDefault="007E53D1" w:rsidP="00D43226">
            <w:pPr>
              <w:spacing w:before="100" w:beforeAutospacing="1" w:after="100" w:afterAutospacing="1" w:line="240" w:lineRule="auto"/>
              <w:rPr>
                <w:rFonts w:ascii="Verdana" w:eastAsia="Times New Roman" w:hAnsi="Verdana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Verdana" w:eastAsia="Times New Roman" w:hAnsi="Verdana"/>
                <w:sz w:val="20"/>
                <w:szCs w:val="20"/>
                <w:lang w:eastAsia="pt-BR"/>
              </w:rPr>
              <w:t>Logistica</w:t>
            </w:r>
            <w:proofErr w:type="spellEnd"/>
          </w:p>
          <w:p w:rsidR="00D43226" w:rsidRPr="007E53D1" w:rsidRDefault="007E53D1" w:rsidP="00D43226">
            <w:pPr>
              <w:spacing w:before="100" w:beforeAutospacing="1" w:after="100" w:afterAutospacing="1" w:line="240" w:lineRule="auto"/>
              <w:rPr>
                <w:rFonts w:ascii="Verdana" w:eastAsia="Times New Roman" w:hAnsi="Verdana"/>
                <w:sz w:val="20"/>
                <w:szCs w:val="20"/>
                <w:lang w:eastAsia="pt-BR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Atuei</w:t>
            </w:r>
            <w:r w:rsidRPr="007E53D1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 xml:space="preserve"> com emissão de coletas,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 xml:space="preserve"> emissão de conhecimentos rodoviários, conhecimentos aéreos,</w:t>
            </w:r>
            <w:proofErr w:type="gramStart"/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7E53D1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End"/>
            <w:r w:rsidRPr="007E53D1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 xml:space="preserve">liberação de motoristas, planejamento de cargas 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 xml:space="preserve">para </w:t>
            </w:r>
            <w:proofErr w:type="spellStart"/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saidas</w:t>
            </w:r>
            <w:proofErr w:type="spellEnd"/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 xml:space="preserve"> as filiais e matriz</w:t>
            </w:r>
            <w:r w:rsidRPr="007E53D1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 xml:space="preserve"> programação de carga , análise d</w:t>
            </w:r>
            <w:r w:rsidRPr="007E53D1">
              <w:rPr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a performance</w:t>
            </w:r>
            <w:r w:rsidRPr="007E53D1">
              <w:rPr>
                <w:rStyle w:val="apple-converted-space"/>
                <w:rFonts w:ascii="Verdana" w:hAnsi="Verdana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esconde"/>
                <w:rFonts w:ascii="Verdana" w:hAnsi="Verdan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das </w:t>
            </w:r>
            <w:r w:rsidRPr="007E53D1">
              <w:rPr>
                <w:rStyle w:val="esconde"/>
                <w:rFonts w:ascii="Verdana" w:hAnsi="Verdana" w:cs="Arial"/>
                <w:color w:val="000000"/>
                <w:sz w:val="20"/>
                <w:szCs w:val="20"/>
                <w:bdr w:val="none" w:sz="0" w:space="0" w:color="auto" w:frame="1"/>
              </w:rPr>
              <w:t>rota</w:t>
            </w:r>
            <w:r>
              <w:rPr>
                <w:rStyle w:val="esconde"/>
                <w:rFonts w:ascii="Verdana" w:hAnsi="Verdana" w:cs="Arial"/>
                <w:color w:val="000000"/>
                <w:sz w:val="20"/>
                <w:szCs w:val="20"/>
                <w:bdr w:val="none" w:sz="0" w:space="0" w:color="auto" w:frame="1"/>
              </w:rPr>
              <w:t>s, destinos e origens e análise</w:t>
            </w:r>
            <w:r w:rsidRPr="007E53D1">
              <w:rPr>
                <w:rStyle w:val="esconde"/>
                <w:rFonts w:ascii="Verdana" w:hAnsi="Verdan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esconde"/>
                <w:rFonts w:ascii="Verdana" w:hAnsi="Verdan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da </w:t>
            </w:r>
            <w:r w:rsidRPr="007E53D1">
              <w:rPr>
                <w:rStyle w:val="esconde"/>
                <w:rFonts w:ascii="Verdana" w:hAnsi="Verdana" w:cs="Arial"/>
                <w:color w:val="000000"/>
                <w:sz w:val="20"/>
                <w:szCs w:val="20"/>
                <w:bdr w:val="none" w:sz="0" w:space="0" w:color="auto" w:frame="1"/>
              </w:rPr>
              <w:t>performance do nível de serviço por trecho.</w:t>
            </w:r>
            <w:r>
              <w:rPr>
                <w:rStyle w:val="esconde"/>
                <w:rFonts w:ascii="Verdana" w:hAnsi="Verdan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Contratação de agregados, controle de manutenção da frota, controle de km dos agregados, fechamento de relatórios de pagamentos e demais rotinas.</w:t>
            </w:r>
            <w:r w:rsidR="0099516F">
              <w:rPr>
                <w:rStyle w:val="esconde"/>
                <w:rFonts w:ascii="Verdana" w:hAnsi="Verdan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Acompanhamento de rotas de entrega, atendimento aos clientes com processo em analise de SAC para que</w:t>
            </w:r>
            <w:proofErr w:type="gramStart"/>
            <w:r w:rsidR="0099516F">
              <w:rPr>
                <w:rStyle w:val="esconde"/>
                <w:rFonts w:ascii="Verdana" w:hAnsi="Verdan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Style w:val="esconde"/>
                <w:rFonts w:ascii="Verdana" w:hAnsi="Verdan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gramEnd"/>
            <w:r w:rsidR="0099516F">
              <w:rPr>
                <w:rStyle w:val="esconde"/>
                <w:rFonts w:ascii="Verdana" w:hAnsi="Verdana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seja verificada as eventuais dificuldades e também problemas apresentados pelas unidades prestadoras de serviço na transportadora e filiais, buscando uma melhor solução para os problemas desonerando a empresa e também satisfazendo o cliente dentro do possível. </w:t>
            </w:r>
            <w:r w:rsidR="00D43226" w:rsidRPr="007E53D1">
              <w:rPr>
                <w:rFonts w:ascii="Verdana" w:eastAsia="Times New Roman" w:hAnsi="Verdana"/>
                <w:sz w:val="20"/>
                <w:szCs w:val="20"/>
                <w:lang w:eastAsia="pt-BR"/>
              </w:rPr>
              <w:br/>
            </w:r>
          </w:p>
          <w:p w:rsidR="00D43226" w:rsidRDefault="00D43226" w:rsidP="00D43226">
            <w:pPr>
              <w:spacing w:before="100" w:beforeAutospacing="1" w:after="100" w:afterAutospacing="1" w:line="240" w:lineRule="auto"/>
              <w:rPr>
                <w:rFonts w:ascii="Verdana" w:eastAsia="Times New Roman" w:hAnsi="Verdana"/>
                <w:sz w:val="20"/>
                <w:szCs w:val="20"/>
                <w:lang w:eastAsia="pt-BR"/>
              </w:rPr>
            </w:pP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Compras/Suprimentos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br/>
              <w:t xml:space="preserve">Carreira desenvolvida 16 anos na área de Suprimentos em empresas como: </w:t>
            </w:r>
            <w:proofErr w:type="spell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Haztec</w:t>
            </w:r>
            <w:proofErr w:type="spell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 Tec. Planejamento Ambiental, </w:t>
            </w:r>
            <w:proofErr w:type="spell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Armadi</w:t>
            </w:r>
            <w:proofErr w:type="spell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 Moveis, </w:t>
            </w:r>
            <w:proofErr w:type="gram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Moveis</w:t>
            </w:r>
            <w:proofErr w:type="gram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Behling</w:t>
            </w:r>
            <w:proofErr w:type="spell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, Metais </w:t>
            </w:r>
            <w:proofErr w:type="spell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Alezio</w:t>
            </w:r>
            <w:proofErr w:type="spell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Clam</w:t>
            </w:r>
            <w:proofErr w:type="spell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Logistica</w:t>
            </w:r>
            <w:proofErr w:type="spell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 em Transp. Nas atividades desenvolvidas se incluem: controle de compras, cadastro de novos fornecedores, elaboração e implantação de ISO 9000, ISO 14000 implantação de sistemas integrados, </w:t>
            </w:r>
            <w:r w:rsidR="005E22B8" w:rsidRP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materiais produtivos e </w:t>
            </w:r>
            <w:r w:rsidR="005E22B8" w:rsidRP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lastRenderedPageBreak/>
              <w:t xml:space="preserve">improdutivos (tintas, materiais. elétricos (fios, cabos, </w:t>
            </w:r>
            <w:proofErr w:type="spellStart"/>
            <w:r w:rsidR="005E22B8" w:rsidRP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>dijuntores</w:t>
            </w:r>
            <w:proofErr w:type="spellEnd"/>
            <w:r w:rsidR="005E22B8" w:rsidRP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, reatores, geradores, </w:t>
            </w:r>
            <w:proofErr w:type="spellStart"/>
            <w:r w:rsidR="005E22B8" w:rsidRP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>trafo</w:t>
            </w:r>
            <w:proofErr w:type="spellEnd"/>
            <w:r w:rsidR="005E22B8" w:rsidRP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5E22B8" w:rsidRP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>horímetros</w:t>
            </w:r>
            <w:proofErr w:type="spellEnd"/>
            <w:r w:rsidR="005E22B8" w:rsidRP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="005E22B8" w:rsidRP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>lampadas</w:t>
            </w:r>
            <w:proofErr w:type="spellEnd"/>
            <w:r w:rsidR="005E22B8" w:rsidRP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, conectores, </w:t>
            </w:r>
            <w:proofErr w:type="spellStart"/>
            <w:r w:rsidR="005E22B8" w:rsidRP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>eletroduto</w:t>
            </w:r>
            <w:proofErr w:type="spellEnd"/>
            <w:r w:rsidR="005E22B8" w:rsidRP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, caixa de passagem, interruptores, caixas de derivação, quadros de distribuição (peças e montagem), botões de comando, </w:t>
            </w:r>
            <w:proofErr w:type="spellStart"/>
            <w:r w:rsidR="005E22B8" w:rsidRP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>condul</w:t>
            </w:r>
            <w:r w:rsid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>etes</w:t>
            </w:r>
            <w:proofErr w:type="spellEnd"/>
            <w:r w:rsid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, fusíveis), </w:t>
            </w:r>
            <w:r w:rsidR="00045CF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componentes eletrônicos (capacitores, chaves, coolers, potenciômetro, dissipadores, fontes, fusível, indutor, knob, </w:t>
            </w:r>
            <w:proofErr w:type="spellStart"/>
            <w:r w:rsidR="00045CF2">
              <w:rPr>
                <w:rFonts w:ascii="Verdana" w:eastAsia="Times New Roman" w:hAnsi="Verdana"/>
                <w:sz w:val="20"/>
                <w:szCs w:val="20"/>
                <w:lang w:eastAsia="pt-BR"/>
              </w:rPr>
              <w:t>leds</w:t>
            </w:r>
            <w:proofErr w:type="spellEnd"/>
            <w:r w:rsidR="00045CF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, placas, resistor, relê, soquetes), </w:t>
            </w:r>
            <w:r w:rsid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>materiais hidráulicos, produtos quí</w:t>
            </w:r>
            <w:r w:rsidR="005E22B8" w:rsidRP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micos, reagentes, material de laboratório, maquinas, equipamentos, ferramentas, </w:t>
            </w:r>
            <w:proofErr w:type="spellStart"/>
            <w:r w:rsidR="005E22B8" w:rsidRP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>epi</w:t>
            </w:r>
            <w:proofErr w:type="spellEnd"/>
            <w:r w:rsidR="005E22B8" w:rsidRP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>, madeiras, MDF, chapas, vigas, parafusos, tubulação de aço carbono, inox, material de construção, concreto, vergalhões, brita, areia, tijo</w:t>
            </w:r>
            <w:r w:rsid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>los, telhas, esquadrias em alumí</w:t>
            </w:r>
            <w:r w:rsidR="005E22B8" w:rsidRP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>nio,</w:t>
            </w:r>
            <w:r w:rsid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 esquadrias, material de escritó</w:t>
            </w:r>
            <w:r w:rsidR="005E22B8" w:rsidRP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rio , material de limpeza, uniformes, entre outros), </w:t>
            </w:r>
            <w:r w:rsidR="00625B58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compra de CAPEX (maquinas, equipamentos pesados), </w:t>
            </w:r>
            <w:r w:rsidR="005E22B8" w:rsidRP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>leitura de desenhos técnicos, leitura de plantas de edificações, elaboração de curva ABC, desenvolvimento de novos fornecedores, negociaçã</w:t>
            </w:r>
            <w:r w:rsid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>o com fornecedores conforme polí</w:t>
            </w:r>
            <w:r w:rsidR="005E22B8" w:rsidRP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tica da empresa, contato a transportadoras, </w:t>
            </w:r>
            <w:proofErr w:type="spellStart"/>
            <w:r w:rsidR="005E22B8" w:rsidRP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>folow</w:t>
            </w:r>
            <w:proofErr w:type="spellEnd"/>
            <w:r w:rsidR="005E22B8" w:rsidRP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="005E22B8" w:rsidRP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>up</w:t>
            </w:r>
            <w:proofErr w:type="spellEnd"/>
            <w:r w:rsidR="005E22B8" w:rsidRP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 de compras, acompanhamento de entrega de pedidos ao cliente interno, contratação de serviços (portaria, transportes, limpeza, sond</w:t>
            </w:r>
            <w:r w:rsid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>agem, engenharia, coleta de resí</w:t>
            </w:r>
            <w:r w:rsidR="005E22B8" w:rsidRPr="005E22B8">
              <w:rPr>
                <w:rFonts w:ascii="Verdana" w:eastAsia="Times New Roman" w:hAnsi="Verdana"/>
                <w:sz w:val="20"/>
                <w:szCs w:val="20"/>
                <w:lang w:eastAsia="pt-BR"/>
              </w:rPr>
              <w:t>duos, transporte de água, dentre outros)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, reestruturação do departamento compras, realizando a formação de equipes para as áreas de compras, demais atividades do departamento.</w:t>
            </w:r>
          </w:p>
          <w:p w:rsidR="00515612" w:rsidRPr="00515612" w:rsidRDefault="00515612" w:rsidP="00D43226">
            <w:pPr>
              <w:spacing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Contas a pagar e receber 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br/>
              <w:t xml:space="preserve">Vivencia em toda a rotina do departamento financeiro em doze anos, especificamente em contas a pagar, conciliação bancária, fluxo de caixa, faturamento, contas a </w:t>
            </w:r>
            <w:proofErr w:type="gram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receber,</w:t>
            </w:r>
            <w:proofErr w:type="gram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 emissão de boletos, remessa e retorno de arquivos de cobrança, negociação de </w:t>
            </w:r>
            <w:proofErr w:type="spell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titulos</w:t>
            </w:r>
            <w:proofErr w:type="spell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 em bancos, capitalização de recursos, aplicações, contato a bancos, financiamento, negociação com BNDES, apuração de impostos.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br/>
              <w:t>Fiscal</w:t>
            </w:r>
            <w:r w:rsidRPr="00515612">
              <w:rPr>
                <w:rFonts w:ascii="Verdana" w:eastAsia="Times New Roman" w:hAnsi="Verdana"/>
                <w:sz w:val="20"/>
                <w:lang w:eastAsia="pt-BR"/>
              </w:rPr>
              <w:t> 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br/>
              <w:t xml:space="preserve">Conferência e manutenção de lançamentos fiscais. Fechamento do livro fiscal. Apuração e emissão de guias de recolhimento de ICMS, ICMS ST e IPI (GARE, GNRE, DARF). Emissão de notas fiscais complementares de impostos e emissão de suas guias de recolhimento com multas e juros. Solicitação de cancelamentos e </w:t>
            </w:r>
            <w:proofErr w:type="spell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inutilizações</w:t>
            </w:r>
            <w:proofErr w:type="spell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 de notas fiscais. Análise e recolhimento de DIFAL e ICMS ST (DAE/DAR/GNRE) por operação fiscal. Regularização de notas e impostos por mercadorias autuadas no transporte. Análise de necessidade e emissão de formulário PIN para internamento de notas na zona franca de Manaus. Emissão de carta de correção. Emissão de notas fiscais de </w:t>
            </w:r>
            <w:proofErr w:type="spell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pallet</w:t>
            </w:r>
            <w:proofErr w:type="spell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 e armazenagem. Apoio as demais áreas sobre legislação fiscal. Recebimento de notas fiscais de importação, matéria prima e consumo. Análise e aplicação de PPB. GIA, GIA ST, SINTEGRA, SPED FISCAL. Análise de tributação em ordens de venda.</w:t>
            </w:r>
            <w:r w:rsidRPr="00515612">
              <w:rPr>
                <w:rFonts w:ascii="Verdana" w:eastAsia="Times New Roman" w:hAnsi="Verdana"/>
                <w:sz w:val="20"/>
                <w:lang w:eastAsia="pt-BR"/>
              </w:rPr>
              <w:t> 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br/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br/>
              <w:t>Dep. Pessoal</w:t>
            </w:r>
            <w:r w:rsidRPr="00515612">
              <w:rPr>
                <w:rFonts w:ascii="Verdana" w:eastAsia="Times New Roman" w:hAnsi="Verdana"/>
                <w:sz w:val="20"/>
                <w:lang w:eastAsia="pt-BR"/>
              </w:rPr>
              <w:t> 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br/>
              <w:t xml:space="preserve">Controles de banco de dados dos candidatos com atualizações. Acompanhamento dos casos de alterações de cargos, promoções, transferências, demissões e outros tipos de movimentação de pessoal, observando as normas e procedimentos aplicáveis, Divulgação de vagas e atualizações, </w:t>
            </w:r>
            <w:proofErr w:type="gram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atuo</w:t>
            </w:r>
            <w:proofErr w:type="gram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 com a seleção e entrevistas, apoio a folha de pagamento, separação, ordenação e arquivos de documentos, por tipo e origem, utilizando-se de pasta ou arquivos mortos, elaboração de documentação para aposentadoria, apontamento de cartão ponto, calculo de </w:t>
            </w:r>
            <w:proofErr w:type="spell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beneficios</w:t>
            </w:r>
            <w:proofErr w:type="spell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, cadastramento de funcionários no programa de transporte, emissão de cartas de </w:t>
            </w:r>
            <w:proofErr w:type="spell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advertencia</w:t>
            </w:r>
            <w:proofErr w:type="spell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, demissão</w:t>
            </w:r>
            <w:r w:rsidR="005B1D2E">
              <w:rPr>
                <w:rFonts w:ascii="Verdana" w:eastAsia="Times New Roman" w:hAnsi="Verdana"/>
                <w:sz w:val="20"/>
                <w:szCs w:val="20"/>
                <w:lang w:eastAsia="pt-BR"/>
              </w:rPr>
              <w:t>, preposto para acordos e julgamentos em juizado ou em sindicato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 e demais rotinas.</w:t>
            </w:r>
            <w:r w:rsidRPr="00515612">
              <w:rPr>
                <w:rFonts w:ascii="Verdana" w:eastAsia="Times New Roman" w:hAnsi="Verdana"/>
                <w:sz w:val="20"/>
                <w:lang w:eastAsia="pt-BR"/>
              </w:rPr>
              <w:t> 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br/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br/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br/>
            </w:r>
          </w:p>
        </w:tc>
      </w:tr>
      <w:tr w:rsidR="00515612" w:rsidRPr="007F31F3" w:rsidTr="00515612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15612" w:rsidRPr="00515612" w:rsidRDefault="00515612" w:rsidP="005156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1561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1000" w:type="pct"/>
            <w:vAlign w:val="center"/>
            <w:hideMark/>
          </w:tcPr>
          <w:p w:rsidR="00515612" w:rsidRPr="00515612" w:rsidRDefault="00515612" w:rsidP="005156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1561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15612" w:rsidRPr="00515612" w:rsidRDefault="00515612" w:rsidP="005156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1561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15612" w:rsidRPr="00515612" w:rsidRDefault="00515612" w:rsidP="005156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1561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15612" w:rsidRPr="00515612" w:rsidRDefault="00515612" w:rsidP="005156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1561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515612" w:rsidRPr="007F31F3" w:rsidTr="0051561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1B565B" w:rsidRDefault="001B565B" w:rsidP="00515612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4"/>
                <w:szCs w:val="24"/>
                <w:lang w:eastAsia="pt-BR"/>
              </w:rPr>
            </w:pPr>
          </w:p>
          <w:p w:rsidR="00515612" w:rsidRPr="00515612" w:rsidRDefault="00515612" w:rsidP="005156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15612">
              <w:rPr>
                <w:rFonts w:ascii="Verdana" w:eastAsia="Times New Roman" w:hAnsi="Verdana"/>
                <w:b/>
                <w:bCs/>
                <w:sz w:val="24"/>
                <w:szCs w:val="24"/>
                <w:lang w:eastAsia="pt-BR"/>
              </w:rPr>
              <w:t>Formação</w:t>
            </w:r>
          </w:p>
        </w:tc>
      </w:tr>
      <w:tr w:rsidR="00515612" w:rsidRPr="007F31F3" w:rsidTr="0051561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15612" w:rsidRPr="00515612" w:rsidRDefault="00515612" w:rsidP="00892D4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  <w:p w:rsidR="00515612" w:rsidRPr="00515612" w:rsidRDefault="00515612" w:rsidP="00470A79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15612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t>Graduação</w:t>
            </w:r>
            <w:r w:rsidRPr="00515612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br/>
            </w:r>
            <w:proofErr w:type="spellStart"/>
            <w:r w:rsidRPr="00515612">
              <w:rPr>
                <w:rFonts w:ascii="Verdana" w:eastAsia="Times New Roman" w:hAnsi="Verdana"/>
                <w:i/>
                <w:iCs/>
                <w:sz w:val="20"/>
                <w:szCs w:val="20"/>
                <w:lang w:eastAsia="pt-BR"/>
              </w:rPr>
              <w:t>Adm</w:t>
            </w:r>
            <w:proofErr w:type="spellEnd"/>
            <w:r w:rsidRPr="00515612">
              <w:rPr>
                <w:rFonts w:ascii="Verdana" w:eastAsia="Times New Roman" w:hAnsi="Verdana"/>
                <w:i/>
                <w:iCs/>
                <w:sz w:val="20"/>
                <w:szCs w:val="20"/>
                <w:lang w:eastAsia="pt-BR"/>
              </w:rPr>
              <w:t xml:space="preserve">. </w:t>
            </w:r>
            <w:proofErr w:type="gramStart"/>
            <w:r w:rsidRPr="00515612">
              <w:rPr>
                <w:rFonts w:ascii="Verdana" w:eastAsia="Times New Roman" w:hAnsi="Verdana"/>
                <w:i/>
                <w:iCs/>
                <w:sz w:val="20"/>
                <w:szCs w:val="20"/>
                <w:lang w:eastAsia="pt-BR"/>
              </w:rPr>
              <w:t>de</w:t>
            </w:r>
            <w:proofErr w:type="gramEnd"/>
            <w:r w:rsidRPr="00515612">
              <w:rPr>
                <w:rFonts w:ascii="Verdana" w:eastAsia="Times New Roman" w:hAnsi="Verdana"/>
                <w:i/>
                <w:iCs/>
                <w:sz w:val="20"/>
                <w:szCs w:val="20"/>
                <w:lang w:eastAsia="pt-BR"/>
              </w:rPr>
              <w:t xml:space="preserve"> Empresas</w:t>
            </w:r>
            <w:r w:rsidR="00470A79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, UNIP – formado 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(julho/2016) </w:t>
            </w:r>
            <w:r w:rsidR="00470A79">
              <w:rPr>
                <w:rFonts w:ascii="Verdana" w:eastAsia="Times New Roman" w:hAnsi="Verdana"/>
                <w:sz w:val="20"/>
                <w:szCs w:val="20"/>
                <w:lang w:eastAsia="pt-BR"/>
              </w:rPr>
              <w:t>–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 </w:t>
            </w:r>
            <w:r w:rsidR="00470A79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fazendo matérias adaptativas. </w:t>
            </w:r>
          </w:p>
        </w:tc>
      </w:tr>
      <w:tr w:rsidR="00515612" w:rsidRPr="007F31F3" w:rsidTr="00515612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15612" w:rsidRPr="00515612" w:rsidRDefault="00515612" w:rsidP="005156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vAlign w:val="center"/>
            <w:hideMark/>
          </w:tcPr>
          <w:p w:rsidR="00515612" w:rsidRPr="00515612" w:rsidRDefault="00515612" w:rsidP="005156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1561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15612" w:rsidRPr="00515612" w:rsidRDefault="00515612" w:rsidP="005156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1561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15612" w:rsidRPr="00515612" w:rsidRDefault="00515612" w:rsidP="005156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1561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15612" w:rsidRPr="00515612" w:rsidRDefault="00515612" w:rsidP="005156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1561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515612" w:rsidRPr="007F31F3" w:rsidTr="0051561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15612" w:rsidRPr="00515612" w:rsidRDefault="00515612" w:rsidP="005156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515612" w:rsidRPr="007F31F3" w:rsidTr="0051561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15612" w:rsidRPr="00515612" w:rsidRDefault="00515612" w:rsidP="00515612">
            <w:pPr>
              <w:spacing w:after="0" w:line="240" w:lineRule="auto"/>
              <w:ind w:left="720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</w:p>
        </w:tc>
      </w:tr>
      <w:tr w:rsidR="00515612" w:rsidRPr="007F31F3" w:rsidTr="00515612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15612" w:rsidRPr="00515612" w:rsidRDefault="00515612" w:rsidP="005156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1561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15612" w:rsidRPr="00515612" w:rsidRDefault="00515612" w:rsidP="005156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1561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15612" w:rsidRPr="00515612" w:rsidRDefault="00515612" w:rsidP="005156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1561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15612" w:rsidRPr="00515612" w:rsidRDefault="00515612" w:rsidP="005156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1561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15612" w:rsidRPr="00515612" w:rsidRDefault="00515612" w:rsidP="005156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1561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  <w:tr w:rsidR="00515612" w:rsidRPr="007F31F3" w:rsidTr="0051561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15612" w:rsidRDefault="00515612" w:rsidP="00515612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4"/>
                <w:szCs w:val="24"/>
                <w:lang w:eastAsia="pt-BR"/>
              </w:rPr>
            </w:pPr>
            <w:r w:rsidRPr="00515612">
              <w:rPr>
                <w:rFonts w:ascii="Verdana" w:eastAsia="Times New Roman" w:hAnsi="Verdana"/>
                <w:b/>
                <w:bCs/>
                <w:sz w:val="24"/>
                <w:szCs w:val="24"/>
                <w:lang w:eastAsia="pt-BR"/>
              </w:rPr>
              <w:t>Histórico profissional</w:t>
            </w:r>
          </w:p>
          <w:p w:rsidR="00B23B30" w:rsidRPr="00B23B30" w:rsidRDefault="00844B6D" w:rsidP="00CC01FF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t>Costa Nogueira Advocacia</w:t>
            </w:r>
            <w:r w:rsidR="00B23B30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t xml:space="preserve"> – </w:t>
            </w:r>
            <w:r w:rsidR="00B23B30">
              <w:rPr>
                <w:rFonts w:ascii="Verdana" w:eastAsia="Times New Roman" w:hAnsi="Verdana"/>
                <w:bCs/>
                <w:sz w:val="20"/>
                <w:szCs w:val="20"/>
                <w:lang w:eastAsia="pt-BR"/>
              </w:rPr>
              <w:t>Agosto/2014</w:t>
            </w:r>
            <w:r w:rsidR="00470A79">
              <w:rPr>
                <w:rFonts w:ascii="Verdana" w:eastAsia="Times New Roman" w:hAnsi="Verdana"/>
                <w:bCs/>
                <w:sz w:val="20"/>
                <w:szCs w:val="20"/>
                <w:lang w:eastAsia="pt-BR"/>
              </w:rPr>
              <w:t xml:space="preserve"> até Março/2016.</w:t>
            </w:r>
          </w:p>
          <w:p w:rsidR="00B23B30" w:rsidRPr="00B23B30" w:rsidRDefault="00B23B30" w:rsidP="00B23B30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B23B30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t xml:space="preserve">     </w:t>
            </w:r>
            <w:r>
              <w:rPr>
                <w:rFonts w:ascii="Verdana" w:eastAsia="Times New Roman" w:hAnsi="Verdana"/>
                <w:bCs/>
                <w:sz w:val="20"/>
                <w:szCs w:val="20"/>
                <w:lang w:eastAsia="pt-BR"/>
              </w:rPr>
              <w:t>Atuo como estagiário realizando atividades administrativas.</w:t>
            </w:r>
          </w:p>
          <w:p w:rsidR="00CC01FF" w:rsidRPr="00CC01FF" w:rsidRDefault="00CC01FF" w:rsidP="00CC01FF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CC01FF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t xml:space="preserve">SIM </w:t>
            </w:r>
            <w:proofErr w:type="spellStart"/>
            <w:r w:rsidRPr="00CC01FF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t>Adm</w:t>
            </w:r>
            <w:proofErr w:type="spellEnd"/>
            <w:r w:rsidRPr="00CC01FF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CC01FF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t>Cond</w:t>
            </w:r>
            <w:proofErr w:type="spellEnd"/>
            <w:r w:rsidRPr="00CC01FF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t xml:space="preserve"> - </w:t>
            </w:r>
            <w:r w:rsidRPr="00CC01FF">
              <w:rPr>
                <w:rFonts w:ascii="Verdana" w:eastAsia="Times New Roman" w:hAnsi="Verdana"/>
                <w:bCs/>
                <w:sz w:val="20"/>
                <w:szCs w:val="20"/>
                <w:lang w:eastAsia="pt-BR"/>
              </w:rPr>
              <w:t xml:space="preserve">Novembro/2013 a Julho/2014 </w:t>
            </w:r>
          </w:p>
          <w:p w:rsidR="00CC01FF" w:rsidRPr="00CC01FF" w:rsidRDefault="00CC01FF" w:rsidP="0045479E">
            <w:pPr>
              <w:spacing w:after="0" w:line="240" w:lineRule="auto"/>
              <w:ind w:left="709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CC01FF">
              <w:rPr>
                <w:rFonts w:ascii="Verdana" w:eastAsia="Times New Roman" w:hAnsi="Verdana"/>
                <w:bCs/>
                <w:sz w:val="20"/>
                <w:szCs w:val="20"/>
                <w:lang w:eastAsia="pt-BR"/>
              </w:rPr>
              <w:t xml:space="preserve">Atuei como responsável administrativo na empresa, realizava trabalhos na área financeira, </w:t>
            </w:r>
            <w:proofErr w:type="spellStart"/>
            <w:proofErr w:type="gramStart"/>
            <w:r w:rsidRPr="00CC01FF">
              <w:rPr>
                <w:rFonts w:ascii="Verdana" w:eastAsia="Times New Roman" w:hAnsi="Verdana"/>
                <w:bCs/>
                <w:sz w:val="20"/>
                <w:szCs w:val="20"/>
                <w:lang w:eastAsia="pt-BR"/>
              </w:rPr>
              <w:t>rh</w:t>
            </w:r>
            <w:proofErr w:type="spellEnd"/>
            <w:proofErr w:type="gramEnd"/>
            <w:r w:rsidRPr="00CC01FF">
              <w:rPr>
                <w:rFonts w:ascii="Verdana" w:eastAsia="Times New Roman" w:hAnsi="Verdana"/>
                <w:bCs/>
                <w:sz w:val="20"/>
                <w:szCs w:val="20"/>
                <w:lang w:eastAsia="pt-BR"/>
              </w:rPr>
              <w:t xml:space="preserve"> e compras. </w:t>
            </w:r>
          </w:p>
        </w:tc>
      </w:tr>
      <w:tr w:rsidR="00515612" w:rsidRPr="007F31F3" w:rsidTr="00515612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515612" w:rsidRPr="00515612" w:rsidRDefault="00515612" w:rsidP="0051561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sz w:val="20"/>
                <w:szCs w:val="20"/>
                <w:lang w:eastAsia="pt-BR"/>
              </w:rPr>
            </w:pPr>
            <w:r w:rsidRPr="00515612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t>Stefanini</w:t>
            </w:r>
            <w:r w:rsidRPr="00515612">
              <w:rPr>
                <w:rFonts w:ascii="Verdana" w:eastAsia="Times New Roman" w:hAnsi="Verdana"/>
                <w:sz w:val="20"/>
                <w:lang w:eastAsia="pt-BR"/>
              </w:rPr>
              <w:t> 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- de julho/2013 a outubro/2013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br/>
            </w:r>
            <w:proofErr w:type="gramStart"/>
            <w:r w:rsidRPr="00515612">
              <w:rPr>
                <w:rFonts w:ascii="Verdana" w:eastAsia="Times New Roman" w:hAnsi="Verdana"/>
                <w:sz w:val="15"/>
                <w:szCs w:val="15"/>
                <w:lang w:eastAsia="pt-BR"/>
              </w:rPr>
              <w:t>(</w:t>
            </w:r>
            <w:proofErr w:type="gramEnd"/>
            <w:r w:rsidRPr="00515612">
              <w:rPr>
                <w:rFonts w:ascii="Verdana" w:eastAsia="Times New Roman" w:hAnsi="Verdana"/>
                <w:sz w:val="15"/>
                <w:szCs w:val="15"/>
                <w:lang w:eastAsia="pt-BR"/>
              </w:rPr>
              <w:t>Empresa de grande porte no segmento tecnologia e informática)</w:t>
            </w:r>
            <w:r w:rsidRPr="00515612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br/>
            </w:r>
            <w:r w:rsidRPr="00515612">
              <w:rPr>
                <w:rFonts w:ascii="Verdana" w:eastAsia="Times New Roman" w:hAnsi="Verdana"/>
                <w:b/>
                <w:bCs/>
                <w:i/>
                <w:iCs/>
                <w:sz w:val="20"/>
                <w:szCs w:val="20"/>
                <w:lang w:eastAsia="pt-BR"/>
              </w:rPr>
              <w:t>Comprador Pleno</w:t>
            </w:r>
            <w:r w:rsidRPr="00515612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br/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Compras, recebimento de mercadorias, controle de estoque, compra de produtos </w:t>
            </w:r>
            <w:r w:rsidR="00D43226">
              <w:rPr>
                <w:rFonts w:ascii="Verdana" w:eastAsia="Times New Roman" w:hAnsi="Verdana"/>
                <w:sz w:val="20"/>
                <w:szCs w:val="20"/>
                <w:lang w:eastAsia="pt-BR"/>
              </w:rPr>
              <w:t>e serviços</w:t>
            </w:r>
            <w:r w:rsidR="00DE0F00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 (terceirização de MO, terceirização de transportes, terceirização de frotas)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quimicos</w:t>
            </w:r>
            <w:proofErr w:type="spell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eletronico</w:t>
            </w:r>
            <w:proofErr w:type="spell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eletrico</w:t>
            </w:r>
            <w:proofErr w:type="spell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, equipamentos, material limpeza, </w:t>
            </w:r>
            <w:proofErr w:type="spell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escritorio</w:t>
            </w:r>
            <w:proofErr w:type="spell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, consumo.</w:t>
            </w:r>
          </w:p>
          <w:p w:rsidR="00515612" w:rsidRPr="00515612" w:rsidRDefault="00515612" w:rsidP="0051561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sz w:val="20"/>
                <w:szCs w:val="20"/>
                <w:lang w:eastAsia="pt-BR"/>
              </w:rPr>
            </w:pPr>
            <w:proofErr w:type="spellStart"/>
            <w:r w:rsidRPr="00515612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t>Emplal</w:t>
            </w:r>
            <w:proofErr w:type="spellEnd"/>
            <w:r w:rsidRPr="00515612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t xml:space="preserve"> Embalagens</w:t>
            </w:r>
            <w:r w:rsidRPr="00515612">
              <w:rPr>
                <w:rFonts w:ascii="Verdana" w:eastAsia="Times New Roman" w:hAnsi="Verdana"/>
                <w:sz w:val="20"/>
                <w:lang w:eastAsia="pt-BR"/>
              </w:rPr>
              <w:t> 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- de julho/2011 a </w:t>
            </w:r>
            <w:r w:rsidR="003F76A0">
              <w:rPr>
                <w:rFonts w:ascii="Verdana" w:eastAsia="Times New Roman" w:hAnsi="Verdana"/>
                <w:sz w:val="20"/>
                <w:szCs w:val="20"/>
                <w:lang w:eastAsia="pt-BR"/>
              </w:rPr>
              <w:t>março/2013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br/>
            </w:r>
            <w:proofErr w:type="gramStart"/>
            <w:r w:rsidRPr="00515612">
              <w:rPr>
                <w:rFonts w:ascii="Verdana" w:eastAsia="Times New Roman" w:hAnsi="Verdana"/>
                <w:sz w:val="15"/>
                <w:szCs w:val="15"/>
                <w:lang w:eastAsia="pt-BR"/>
              </w:rPr>
              <w:t>(</w:t>
            </w:r>
            <w:proofErr w:type="gramEnd"/>
            <w:r w:rsidRPr="00515612">
              <w:rPr>
                <w:rFonts w:ascii="Verdana" w:eastAsia="Times New Roman" w:hAnsi="Verdana"/>
                <w:sz w:val="15"/>
                <w:szCs w:val="15"/>
                <w:lang w:eastAsia="pt-BR"/>
              </w:rPr>
              <w:t>Empresa de grande porte no segmento indústria)</w:t>
            </w:r>
            <w:r w:rsidRPr="00515612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br/>
            </w:r>
            <w:r w:rsidRPr="00515612">
              <w:rPr>
                <w:rFonts w:ascii="Verdana" w:eastAsia="Times New Roman" w:hAnsi="Verdana"/>
                <w:b/>
                <w:bCs/>
                <w:i/>
                <w:iCs/>
                <w:sz w:val="20"/>
                <w:szCs w:val="20"/>
                <w:lang w:eastAsia="pt-BR"/>
              </w:rPr>
              <w:t>Comprador II</w:t>
            </w:r>
            <w:r w:rsidRPr="00515612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br/>
            </w:r>
            <w:r w:rsidR="00D43226">
              <w:rPr>
                <w:rFonts w:ascii="Verdana" w:eastAsia="Times New Roman" w:hAnsi="Verdana"/>
                <w:sz w:val="20"/>
                <w:szCs w:val="20"/>
                <w:lang w:eastAsia="pt-BR"/>
              </w:rPr>
              <w:t>C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ompras, controle de estoque, recebimento de mercadorias, controle de estoque, compra de produtos </w:t>
            </w:r>
            <w:r w:rsidR="00D43226">
              <w:rPr>
                <w:rFonts w:ascii="Verdana" w:eastAsia="Times New Roman" w:hAnsi="Verdana"/>
                <w:sz w:val="20"/>
                <w:szCs w:val="20"/>
                <w:lang w:eastAsia="pt-BR"/>
              </w:rPr>
              <w:t>e serviços</w:t>
            </w:r>
            <w:r w:rsidR="00DE0F00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 (terceirização de MO, terceirização de transportes, terceirização de frotas)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quimicos</w:t>
            </w:r>
            <w:proofErr w:type="spell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eletronico</w:t>
            </w:r>
            <w:proofErr w:type="spell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eletrico</w:t>
            </w:r>
            <w:proofErr w:type="spell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, equipamentos, material limpeza, </w:t>
            </w:r>
            <w:proofErr w:type="spell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escritorio</w:t>
            </w:r>
            <w:proofErr w:type="spell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, consumo.</w:t>
            </w:r>
          </w:p>
          <w:p w:rsidR="00515612" w:rsidRPr="00515612" w:rsidRDefault="00515612" w:rsidP="0051561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sz w:val="20"/>
                <w:szCs w:val="20"/>
                <w:lang w:eastAsia="pt-BR"/>
              </w:rPr>
            </w:pPr>
            <w:proofErr w:type="spellStart"/>
            <w:r w:rsidRPr="00515612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t>Armadi</w:t>
            </w:r>
            <w:proofErr w:type="spellEnd"/>
            <w:r w:rsidRPr="00515612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t xml:space="preserve"> Moveis </w:t>
            </w:r>
            <w:proofErr w:type="spellStart"/>
            <w:r w:rsidRPr="00515612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t>Ltda</w:t>
            </w:r>
            <w:proofErr w:type="spellEnd"/>
            <w:r w:rsidRPr="00515612">
              <w:rPr>
                <w:rFonts w:ascii="Verdana" w:eastAsia="Times New Roman" w:hAnsi="Verdana"/>
                <w:sz w:val="20"/>
                <w:lang w:eastAsia="pt-BR"/>
              </w:rPr>
              <w:t> 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- de novembro/2010 a julho/2011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br/>
            </w:r>
            <w:proofErr w:type="gramStart"/>
            <w:r w:rsidRPr="00515612">
              <w:rPr>
                <w:rFonts w:ascii="Verdana" w:eastAsia="Times New Roman" w:hAnsi="Verdana"/>
                <w:sz w:val="15"/>
                <w:szCs w:val="15"/>
                <w:lang w:eastAsia="pt-BR"/>
              </w:rPr>
              <w:t>(</w:t>
            </w:r>
            <w:proofErr w:type="gramEnd"/>
            <w:r w:rsidRPr="00515612">
              <w:rPr>
                <w:rFonts w:ascii="Verdana" w:eastAsia="Times New Roman" w:hAnsi="Verdana"/>
                <w:sz w:val="15"/>
                <w:szCs w:val="15"/>
                <w:lang w:eastAsia="pt-BR"/>
              </w:rPr>
              <w:t>Empresa de pequeno porte no segmento indústria)</w:t>
            </w:r>
            <w:r w:rsidRPr="00515612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br/>
            </w:r>
            <w:r w:rsidRPr="00515612">
              <w:rPr>
                <w:rFonts w:ascii="Verdana" w:eastAsia="Times New Roman" w:hAnsi="Verdana"/>
                <w:b/>
                <w:bCs/>
                <w:i/>
                <w:iCs/>
                <w:sz w:val="20"/>
                <w:szCs w:val="20"/>
                <w:lang w:eastAsia="pt-BR"/>
              </w:rPr>
              <w:t>Analista administrativo Pleno</w:t>
            </w:r>
            <w:r w:rsidRPr="00515612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br/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Faturamento, compras, controle de estoque, coordenação de equipe de almoxa</w:t>
            </w:r>
            <w:r w:rsidR="00D43226">
              <w:rPr>
                <w:rFonts w:ascii="Verdana" w:eastAsia="Times New Roman" w:hAnsi="Verdana"/>
                <w:sz w:val="20"/>
                <w:szCs w:val="20"/>
                <w:lang w:eastAsia="pt-BR"/>
              </w:rPr>
              <w:t>rifado, dep. pessoal, organizaçã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o administrativa do </w:t>
            </w:r>
            <w:proofErr w:type="spell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escritorio</w:t>
            </w:r>
            <w:proofErr w:type="spell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 da fabrica, lançamentos fiscais, atendimento a clientes, atendimento a fornecedores, elaboração de controles administrativos.</w:t>
            </w:r>
          </w:p>
          <w:p w:rsidR="00515612" w:rsidRPr="00515612" w:rsidRDefault="00515612" w:rsidP="0051561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sz w:val="20"/>
                <w:szCs w:val="20"/>
                <w:lang w:eastAsia="pt-BR"/>
              </w:rPr>
            </w:pPr>
            <w:proofErr w:type="spellStart"/>
            <w:r w:rsidRPr="00515612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t>Haztec</w:t>
            </w:r>
            <w:proofErr w:type="spellEnd"/>
            <w:r w:rsidRPr="00515612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t xml:space="preserve"> Tecnologia e Planejamento Ambiental S/A</w:t>
            </w:r>
            <w:r w:rsidRPr="00515612">
              <w:rPr>
                <w:rFonts w:ascii="Verdana" w:eastAsia="Times New Roman" w:hAnsi="Verdana"/>
                <w:sz w:val="20"/>
                <w:lang w:eastAsia="pt-BR"/>
              </w:rPr>
              <w:t> 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- de agosto/2008 a novembro/2010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br/>
            </w:r>
            <w:proofErr w:type="gramStart"/>
            <w:r w:rsidRPr="00515612">
              <w:rPr>
                <w:rFonts w:ascii="Verdana" w:eastAsia="Times New Roman" w:hAnsi="Verdana"/>
                <w:sz w:val="15"/>
                <w:szCs w:val="15"/>
                <w:lang w:eastAsia="pt-BR"/>
              </w:rPr>
              <w:t>(</w:t>
            </w:r>
            <w:proofErr w:type="gramEnd"/>
            <w:r w:rsidRPr="00515612">
              <w:rPr>
                <w:rFonts w:ascii="Verdana" w:eastAsia="Times New Roman" w:hAnsi="Verdana"/>
                <w:sz w:val="15"/>
                <w:szCs w:val="15"/>
                <w:lang w:eastAsia="pt-BR"/>
              </w:rPr>
              <w:t>Empresa de médio porte no segmento engenharia)</w:t>
            </w:r>
            <w:r w:rsidRPr="00515612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br/>
            </w:r>
            <w:r w:rsidRPr="00515612">
              <w:rPr>
                <w:rFonts w:ascii="Verdana" w:eastAsia="Times New Roman" w:hAnsi="Verdana"/>
                <w:b/>
                <w:bCs/>
                <w:i/>
                <w:iCs/>
                <w:sz w:val="20"/>
                <w:szCs w:val="20"/>
                <w:lang w:eastAsia="pt-BR"/>
              </w:rPr>
              <w:t>Comprador II</w:t>
            </w:r>
            <w:r w:rsidRPr="00515612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br/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Compras, recebimento de mercadorias, controle de estoque, compra de produtos </w:t>
            </w:r>
            <w:r w:rsidR="00D43226">
              <w:rPr>
                <w:rFonts w:ascii="Verdana" w:eastAsia="Times New Roman" w:hAnsi="Verdana"/>
                <w:sz w:val="20"/>
                <w:szCs w:val="20"/>
                <w:lang w:eastAsia="pt-BR"/>
              </w:rPr>
              <w:t>e serviços</w:t>
            </w:r>
            <w:r w:rsidR="00DE0F00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 (terceirização de MO, terceirização de transportes, terceirização de frotas)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quimicos</w:t>
            </w:r>
            <w:proofErr w:type="spell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eletronico</w:t>
            </w:r>
            <w:proofErr w:type="spell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eletrico</w:t>
            </w:r>
            <w:proofErr w:type="spell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, equipamentos, material limpeza, </w:t>
            </w:r>
            <w:proofErr w:type="spellStart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escritorio</w:t>
            </w:r>
            <w:proofErr w:type="spell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, consumo.</w:t>
            </w:r>
          </w:p>
          <w:p w:rsidR="00515612" w:rsidRPr="00515612" w:rsidRDefault="00515612" w:rsidP="0051561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sz w:val="20"/>
                <w:szCs w:val="20"/>
                <w:lang w:eastAsia="pt-BR"/>
              </w:rPr>
            </w:pPr>
            <w:r w:rsidRPr="00515612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t>JOB FINDERS REC. HUMANOS</w:t>
            </w:r>
            <w:r w:rsidRPr="00515612">
              <w:rPr>
                <w:rFonts w:ascii="Verdana" w:eastAsia="Times New Roman" w:hAnsi="Verdana"/>
                <w:sz w:val="20"/>
                <w:lang w:eastAsia="pt-BR"/>
              </w:rPr>
              <w:t> 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- de outubro/2007 a abril/2008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br/>
            </w:r>
            <w:proofErr w:type="gramStart"/>
            <w:r w:rsidRPr="00515612">
              <w:rPr>
                <w:rFonts w:ascii="Verdana" w:eastAsia="Times New Roman" w:hAnsi="Verdana"/>
                <w:sz w:val="15"/>
                <w:szCs w:val="15"/>
                <w:lang w:eastAsia="pt-BR"/>
              </w:rPr>
              <w:t>(</w:t>
            </w:r>
            <w:proofErr w:type="gramEnd"/>
            <w:r w:rsidRPr="00515612">
              <w:rPr>
                <w:rFonts w:ascii="Verdana" w:eastAsia="Times New Roman" w:hAnsi="Verdana"/>
                <w:sz w:val="15"/>
                <w:szCs w:val="15"/>
                <w:lang w:eastAsia="pt-BR"/>
              </w:rPr>
              <w:t>Empresa de pequeno porte no segmento recursos humanos)</w:t>
            </w:r>
            <w:r w:rsidRPr="00515612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br/>
            </w:r>
            <w:r w:rsidRPr="00515612">
              <w:rPr>
                <w:rFonts w:ascii="Verdana" w:eastAsia="Times New Roman" w:hAnsi="Verdana"/>
                <w:b/>
                <w:bCs/>
                <w:i/>
                <w:iCs/>
                <w:sz w:val="20"/>
                <w:szCs w:val="20"/>
                <w:lang w:eastAsia="pt-BR"/>
              </w:rPr>
              <w:t>assistente financeiro</w:t>
            </w:r>
            <w:r w:rsidRPr="00515612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br/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C</w:t>
            </w:r>
            <w:r w:rsidR="00D43226">
              <w:rPr>
                <w:rFonts w:ascii="Verdana" w:eastAsia="Times New Roman" w:hAnsi="Verdana"/>
                <w:sz w:val="20"/>
                <w:szCs w:val="20"/>
                <w:lang w:eastAsia="pt-BR"/>
              </w:rPr>
              <w:t>ontas a pagar, contas a receber, faturamento, remessa e retorno de arquivos para cobrança, análise de credito e cadastro, fluxo de caixa, contato a clientes e contato a bancos.</w:t>
            </w:r>
          </w:p>
          <w:p w:rsidR="00515612" w:rsidRPr="00515612" w:rsidRDefault="00515612" w:rsidP="00D4322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/>
                <w:sz w:val="20"/>
                <w:szCs w:val="20"/>
                <w:lang w:eastAsia="pt-BR"/>
              </w:rPr>
            </w:pPr>
            <w:r w:rsidRPr="00515612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t xml:space="preserve">Moveis </w:t>
            </w:r>
            <w:proofErr w:type="spellStart"/>
            <w:r w:rsidRPr="00515612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t>Behling</w:t>
            </w:r>
            <w:proofErr w:type="spellEnd"/>
            <w:r w:rsidRPr="00515612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515612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t>Ltda</w:t>
            </w:r>
            <w:proofErr w:type="spellEnd"/>
            <w:r w:rsidRPr="00515612">
              <w:rPr>
                <w:rFonts w:ascii="Verdana" w:eastAsia="Times New Roman" w:hAnsi="Verdana"/>
                <w:sz w:val="20"/>
                <w:lang w:eastAsia="pt-BR"/>
              </w:rPr>
              <w:t> 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- de setembro/2005 a fevereiro/2007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br/>
            </w:r>
            <w:proofErr w:type="gramStart"/>
            <w:r w:rsidRPr="00515612">
              <w:rPr>
                <w:rFonts w:ascii="Verdana" w:eastAsia="Times New Roman" w:hAnsi="Verdana"/>
                <w:sz w:val="15"/>
                <w:szCs w:val="15"/>
                <w:lang w:eastAsia="pt-BR"/>
              </w:rPr>
              <w:t>(</w:t>
            </w:r>
            <w:proofErr w:type="gramEnd"/>
            <w:r w:rsidRPr="00515612">
              <w:rPr>
                <w:rFonts w:ascii="Verdana" w:eastAsia="Times New Roman" w:hAnsi="Verdana"/>
                <w:sz w:val="15"/>
                <w:szCs w:val="15"/>
                <w:lang w:eastAsia="pt-BR"/>
              </w:rPr>
              <w:t>Empresa de médio porte no segmento indústria)</w:t>
            </w:r>
            <w:r w:rsidRPr="00515612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br/>
            </w:r>
            <w:r w:rsidRPr="00515612">
              <w:rPr>
                <w:rFonts w:ascii="Verdana" w:eastAsia="Times New Roman" w:hAnsi="Verdana"/>
                <w:b/>
                <w:bCs/>
                <w:i/>
                <w:iCs/>
                <w:sz w:val="20"/>
                <w:szCs w:val="20"/>
                <w:lang w:eastAsia="pt-BR"/>
              </w:rPr>
              <w:t>Encarregado administrativo</w:t>
            </w:r>
            <w:r w:rsidRPr="00515612">
              <w:rPr>
                <w:rFonts w:ascii="Verdana" w:eastAsia="Times New Roman" w:hAnsi="Verdana"/>
                <w:b/>
                <w:bCs/>
                <w:sz w:val="20"/>
                <w:szCs w:val="20"/>
                <w:lang w:eastAsia="pt-BR"/>
              </w:rPr>
              <w:br/>
            </w:r>
            <w:r w:rsidR="00D43226">
              <w:rPr>
                <w:rFonts w:ascii="Verdana" w:eastAsia="Times New Roman" w:hAnsi="Verdana"/>
                <w:sz w:val="20"/>
                <w:szCs w:val="20"/>
                <w:lang w:eastAsia="pt-BR"/>
              </w:rPr>
              <w:t>Coordenaçã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o de equipe de 10 pessoas, contas a pagar, cont</w:t>
            </w:r>
            <w:r w:rsidR="00D43226">
              <w:rPr>
                <w:rFonts w:ascii="Verdana" w:eastAsia="Times New Roman" w:hAnsi="Verdana"/>
                <w:sz w:val="20"/>
                <w:szCs w:val="20"/>
                <w:lang w:eastAsia="pt-BR"/>
              </w:rPr>
              <w:t>as receber, faturamento, compra de material para produção, escritório, serviços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, analise 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lastRenderedPageBreak/>
              <w:t xml:space="preserve">de credito </w:t>
            </w:r>
            <w:r w:rsidR="00D43226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e cadastro, fluxo de caixa, </w:t>
            </w:r>
            <w:proofErr w:type="spellStart"/>
            <w:r w:rsidR="00D43226">
              <w:rPr>
                <w:rFonts w:ascii="Verdana" w:eastAsia="Times New Roman" w:hAnsi="Verdana"/>
                <w:sz w:val="20"/>
                <w:szCs w:val="20"/>
                <w:lang w:eastAsia="pt-BR"/>
              </w:rPr>
              <w:t>consiliaçã</w:t>
            </w:r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>o</w:t>
            </w:r>
            <w:proofErr w:type="spellEnd"/>
            <w:r w:rsidRPr="00515612">
              <w:rPr>
                <w:rFonts w:ascii="Verdana" w:eastAsia="Times New Roman" w:hAnsi="Verdana"/>
                <w:sz w:val="20"/>
                <w:szCs w:val="20"/>
                <w:lang w:eastAsia="pt-BR"/>
              </w:rPr>
              <w:t xml:space="preserve"> bancaria, dep. pessoal</w:t>
            </w:r>
          </w:p>
          <w:p w:rsidR="00515612" w:rsidRPr="00515612" w:rsidRDefault="00515612" w:rsidP="00D43226">
            <w:pPr>
              <w:spacing w:before="100" w:beforeAutospacing="1" w:after="100" w:afterAutospacing="1" w:line="240" w:lineRule="auto"/>
              <w:ind w:left="720"/>
              <w:rPr>
                <w:rFonts w:ascii="Verdana" w:eastAsia="Times New Roman" w:hAnsi="Verdana"/>
                <w:sz w:val="20"/>
                <w:szCs w:val="20"/>
                <w:lang w:eastAsia="pt-BR"/>
              </w:rPr>
            </w:pPr>
          </w:p>
        </w:tc>
      </w:tr>
      <w:tr w:rsidR="00515612" w:rsidRPr="007F31F3" w:rsidTr="00515612">
        <w:trPr>
          <w:tblCellSpacing w:w="0" w:type="dxa"/>
        </w:trPr>
        <w:tc>
          <w:tcPr>
            <w:tcW w:w="1000" w:type="pct"/>
            <w:vAlign w:val="center"/>
            <w:hideMark/>
          </w:tcPr>
          <w:p w:rsidR="00515612" w:rsidRPr="00515612" w:rsidRDefault="00515612" w:rsidP="005156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1561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1000" w:type="pct"/>
            <w:vAlign w:val="center"/>
            <w:hideMark/>
          </w:tcPr>
          <w:p w:rsidR="00515612" w:rsidRPr="00515612" w:rsidRDefault="00515612" w:rsidP="005156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1561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15612" w:rsidRPr="00515612" w:rsidRDefault="00515612" w:rsidP="005156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1561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15612" w:rsidRPr="00515612" w:rsidRDefault="00515612" w:rsidP="005156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1561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vAlign w:val="center"/>
            <w:hideMark/>
          </w:tcPr>
          <w:p w:rsidR="00515612" w:rsidRPr="00515612" w:rsidRDefault="00515612" w:rsidP="0051561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515612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 </w:t>
            </w:r>
          </w:p>
        </w:tc>
      </w:tr>
    </w:tbl>
    <w:p w:rsidR="001C0EB7" w:rsidRDefault="001C0EB7"/>
    <w:sectPr w:rsidR="001C0EB7" w:rsidSect="001C0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66E" w:rsidRDefault="0024766E" w:rsidP="00515612">
      <w:pPr>
        <w:spacing w:after="0" w:line="240" w:lineRule="auto"/>
      </w:pPr>
      <w:r>
        <w:separator/>
      </w:r>
    </w:p>
  </w:endnote>
  <w:endnote w:type="continuationSeparator" w:id="1">
    <w:p w:rsidR="0024766E" w:rsidRDefault="0024766E" w:rsidP="0051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66E" w:rsidRDefault="0024766E" w:rsidP="00515612">
      <w:pPr>
        <w:spacing w:after="0" w:line="240" w:lineRule="auto"/>
      </w:pPr>
      <w:r>
        <w:separator/>
      </w:r>
    </w:p>
  </w:footnote>
  <w:footnote w:type="continuationSeparator" w:id="1">
    <w:p w:rsidR="0024766E" w:rsidRDefault="0024766E" w:rsidP="00515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F4EAE"/>
    <w:multiLevelType w:val="multilevel"/>
    <w:tmpl w:val="6FEC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AA4E06"/>
    <w:multiLevelType w:val="multilevel"/>
    <w:tmpl w:val="F85A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1F2F51"/>
    <w:multiLevelType w:val="multilevel"/>
    <w:tmpl w:val="D81E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784AEF"/>
    <w:multiLevelType w:val="hybridMultilevel"/>
    <w:tmpl w:val="E66097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6D4225"/>
    <w:multiLevelType w:val="hybridMultilevel"/>
    <w:tmpl w:val="87BA8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50164"/>
    <w:multiLevelType w:val="multilevel"/>
    <w:tmpl w:val="3C24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515612"/>
    <w:rsid w:val="00045CF2"/>
    <w:rsid w:val="00061E76"/>
    <w:rsid w:val="0007060D"/>
    <w:rsid w:val="0014621B"/>
    <w:rsid w:val="001918C7"/>
    <w:rsid w:val="00197F22"/>
    <w:rsid w:val="001B565B"/>
    <w:rsid w:val="001C0EB7"/>
    <w:rsid w:val="001E2702"/>
    <w:rsid w:val="00207689"/>
    <w:rsid w:val="0024766E"/>
    <w:rsid w:val="002A2B4F"/>
    <w:rsid w:val="002F6EA1"/>
    <w:rsid w:val="00336B84"/>
    <w:rsid w:val="00341338"/>
    <w:rsid w:val="003F76A0"/>
    <w:rsid w:val="00441223"/>
    <w:rsid w:val="0045479E"/>
    <w:rsid w:val="00463B88"/>
    <w:rsid w:val="00470A79"/>
    <w:rsid w:val="00470ABE"/>
    <w:rsid w:val="00515612"/>
    <w:rsid w:val="005B1D2E"/>
    <w:rsid w:val="005E22B8"/>
    <w:rsid w:val="005F21D1"/>
    <w:rsid w:val="00625B58"/>
    <w:rsid w:val="00656149"/>
    <w:rsid w:val="00664A66"/>
    <w:rsid w:val="00710094"/>
    <w:rsid w:val="007453C1"/>
    <w:rsid w:val="007A3A75"/>
    <w:rsid w:val="007E0A3A"/>
    <w:rsid w:val="007E53D1"/>
    <w:rsid w:val="007F31F3"/>
    <w:rsid w:val="00805447"/>
    <w:rsid w:val="00811D2D"/>
    <w:rsid w:val="008329D4"/>
    <w:rsid w:val="00844B6D"/>
    <w:rsid w:val="008514F3"/>
    <w:rsid w:val="0088187A"/>
    <w:rsid w:val="00892D4F"/>
    <w:rsid w:val="00921432"/>
    <w:rsid w:val="00937B70"/>
    <w:rsid w:val="00970B2F"/>
    <w:rsid w:val="0099516F"/>
    <w:rsid w:val="009A413C"/>
    <w:rsid w:val="009E303F"/>
    <w:rsid w:val="00A9417F"/>
    <w:rsid w:val="00AD05AE"/>
    <w:rsid w:val="00B00AD8"/>
    <w:rsid w:val="00B12BD6"/>
    <w:rsid w:val="00B23B30"/>
    <w:rsid w:val="00B812CA"/>
    <w:rsid w:val="00BC0CB6"/>
    <w:rsid w:val="00BC64FC"/>
    <w:rsid w:val="00BD18AE"/>
    <w:rsid w:val="00C36A26"/>
    <w:rsid w:val="00C72E68"/>
    <w:rsid w:val="00CC01FF"/>
    <w:rsid w:val="00D26704"/>
    <w:rsid w:val="00D43226"/>
    <w:rsid w:val="00DE0F00"/>
    <w:rsid w:val="00E015DA"/>
    <w:rsid w:val="00FB1948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EB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56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15612"/>
  </w:style>
  <w:style w:type="paragraph" w:styleId="Cabealho">
    <w:name w:val="header"/>
    <w:basedOn w:val="Normal"/>
    <w:link w:val="CabealhoChar"/>
    <w:uiPriority w:val="99"/>
    <w:semiHidden/>
    <w:unhideWhenUsed/>
    <w:rsid w:val="005156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15612"/>
  </w:style>
  <w:style w:type="paragraph" w:styleId="Rodap">
    <w:name w:val="footer"/>
    <w:basedOn w:val="Normal"/>
    <w:link w:val="RodapChar"/>
    <w:uiPriority w:val="99"/>
    <w:semiHidden/>
    <w:unhideWhenUsed/>
    <w:rsid w:val="005156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15612"/>
  </w:style>
  <w:style w:type="character" w:styleId="Hyperlink">
    <w:name w:val="Hyperlink"/>
    <w:basedOn w:val="Fontepargpadro"/>
    <w:uiPriority w:val="99"/>
    <w:semiHidden/>
    <w:unhideWhenUsed/>
    <w:rsid w:val="0051561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C01F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70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0ABE"/>
    <w:rPr>
      <w:rFonts w:ascii="Tahoma" w:hAnsi="Tahoma" w:cs="Tahoma"/>
      <w:sz w:val="16"/>
      <w:szCs w:val="16"/>
    </w:rPr>
  </w:style>
  <w:style w:type="character" w:customStyle="1" w:styleId="esconde">
    <w:name w:val="esconde"/>
    <w:basedOn w:val="Fontepargpadro"/>
    <w:rsid w:val="007E53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2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0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4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5ABDA-3630-4164-9771-FBE7C000A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1366</Words>
  <Characters>7381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8730</CharactersWithSpaces>
  <SharedDoc>false</SharedDoc>
  <HLinks>
    <vt:vector size="6" baseType="variant">
      <vt:variant>
        <vt:i4>4980823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http://www.linkedin.com/pub/ricardo-fernando-biasone-dos-reis-lima/42/316/738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Micro02</cp:lastModifiedBy>
  <cp:revision>5</cp:revision>
  <cp:lastPrinted>2014-11-27T12:18:00Z</cp:lastPrinted>
  <dcterms:created xsi:type="dcterms:W3CDTF">2016-03-03T14:31:00Z</dcterms:created>
  <dcterms:modified xsi:type="dcterms:W3CDTF">2016-03-10T14:06:00Z</dcterms:modified>
</cp:coreProperties>
</file>