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59" w:lineRule="auto"/>
        <w:ind w:left="1416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Briana Moreira</w:t>
      </w:r>
    </w:p>
    <w:p w:rsidR="00000000" w:rsidDel="00000000" w:rsidP="00000000" w:rsidRDefault="00000000" w:rsidRPr="00000000">
      <w:pPr>
        <w:widowControl w:val="0"/>
        <w:pBdr/>
        <w:spacing w:line="259" w:lineRule="auto"/>
        <w:ind w:left="1416" w:firstLine="0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brianamoreira94@gmail.com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Tel.: (47) 9635-2654 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Balneário Piçarras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Casada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17/04/1994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Vendas/Auxiliar Administrativo/Estoque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Ensino Médio - E.E.B. Alexandre Guilherme Figueiredo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Técnico em Administração – Faculdade Cenecista José Elias Moreira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Inglês Intermediário – SESC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Experiências: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Vendas de roupas, sapatos, chocolates, óculos, relógios e jóias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Área administrativa: emissão de NF, atendimento ao cliente via email e telefone, cadastro de produtos e rotinas de escritório.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Atividades profissionais: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INOXSUL (18/06/12 – 26/09/12)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Auxiliar administrativa responsável pelo atendimento ao cliente via telefone e email, emissão de NF, cadastro de produtos, organização de arquivos.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ALLIS ( Temporário 45 dias)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Agente de vendas do cartão Hipercard.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CACAU SHOW (26/06/13 – 12/12/13)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Atendimento ao cliente e organização de estoque.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MUNDO DO CHINELO (temporada de verão 01/12/14 – 06/01/15)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Atendimento ao cliente e organização de estoque.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RELOJOARIA KLIX (02/05/15 – 14/10/15)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Balconista.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Atividades não registradas em carteira: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TRITON EYEWEAR: Atendimento, organização de estoque e fechamento de vendas.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HAVAIANAS: Atendimento, organização de estoque e fechamento de vendas.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BLOOD STREAM JOINVILLE: Atendimento, organização de estoque e fechamento de vendas.</w:t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59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CLARO: Atendimento e cadastro de clientes.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anamoreira94@gmail.com" TargetMode="External"/></Relationships>
</file>