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VADER Sentiment Analysis Report</w:t>
      </w:r>
    </w:p>
    <w:p>
      <w:pPr>
        <w:spacing w:after="300"/>
      </w:pPr>
      <w:r>
        <w:rPr>
          <w:rFonts w:ascii="Arial" w:cs="Arial" w:eastAsia="Arial" w:hAnsi="Arial"/>
          <w:b w:val="false"/>
          <w:bCs w:val="false"/>
          <w:color w:val="666666"/>
          <w:sz w:val="22"/>
          <w:szCs w:val="22"/>
        </w:rPr>
        <w:t xml:space="preserve">NPS &amp; CSAT Open-Ended Response Analysis</w:t>
      </w:r>
    </w:p>
    <w:p>
      <w:pPr>
        <w:pStyle w:val="Heading2"/>
        <w:spacing w:before="300" w:after="150"/>
      </w:pPr>
      <w:r>
        <w:rPr>
          <w:rFonts w:ascii="Arial" w:cs="Arial" w:eastAsia="Arial" w:hAnsi="Arial"/>
          <w:b/>
          <w:bCs/>
          <w:color w:val="2E4057"/>
          <w:sz w:val="26"/>
          <w:szCs w:val="26"/>
        </w:rPr>
        <w:t xml:space="preserve">What is VADER?</w:t>
      </w:r>
    </w:p>
    <w:p>
      <w:pPr>
        <w:spacing w:after="120"/>
      </w:pPr>
      <w:r>
        <w:rPr>
          <w:rFonts w:ascii="Arial" w:cs="Arial" w:eastAsia="Arial" w:hAnsi="Arial"/>
          <w:b w:val="false"/>
          <w:bCs w:val="false"/>
          <w:color w:val="333333"/>
          <w:sz w:val="22"/>
          <w:szCs w:val="22"/>
        </w:rPr>
        <w:t xml:space="preserve">VADER (Valence Aware Dictionary and sEntiment Reasoner) is a rule-based sentiment analysis tool that reads text and scores it from -1 (very negative) to +1 (very positive). It works out of the box with no training required. Each response is classified as positive (score &gt; 0.05), negative (score &lt; -0.05), or neutral.</w:t>
      </w:r>
    </w:p>
    <w:p>
      <w:pPr>
        <w:spacing w:after="120"/>
      </w:pPr>
      <w:r>
        <w:rPr>
          <w:rFonts w:ascii="Arial" w:cs="Arial" w:eastAsia="Arial" w:hAnsi="Arial"/>
          <w:b w:val="false"/>
          <w:bCs w:val="false"/>
          <w:color w:val="333333"/>
          <w:sz w:val="22"/>
          <w:szCs w:val="22"/>
        </w:rPr>
        <w:t xml:space="preserve">Non-English responses without a translation were marked as unscored to keep results accurate.</w:t>
      </w:r>
    </w:p>
    <w:p>
      <w:pPr>
        <w:pStyle w:val="Heading2"/>
        <w:spacing w:before="300" w:after="150"/>
      </w:pPr>
      <w:r>
        <w:rPr>
          <w:rFonts w:ascii="Arial" w:cs="Arial" w:eastAsia="Arial" w:hAnsi="Arial"/>
          <w:b/>
          <w:bCs/>
          <w:color w:val="2E4057"/>
          <w:sz w:val="26"/>
          <w:szCs w:val="26"/>
        </w:rPr>
        <w:t xml:space="preserve">Why It Was Used</w:t>
      </w:r>
    </w:p>
    <w:p>
      <w:pPr>
        <w:spacing w:after="120"/>
      </w:pPr>
      <w:r>
        <w:rPr>
          <w:rFonts w:ascii="Arial" w:cs="Arial" w:eastAsia="Arial" w:hAnsi="Arial"/>
          <w:b w:val="false"/>
          <w:bCs w:val="false"/>
          <w:color w:val="333333"/>
          <w:sz w:val="22"/>
          <w:szCs w:val="22"/>
        </w:rPr>
        <w:t xml:space="preserve">The EDA reports identified Reliability, Performance, and Expectation Gap as problem areas based on numeric NPS and CSAT scores. VADER was run on the open-ended response text from both surveys to check whether the language customers actually used tells the same story. This cross-references the quantitative findings with qualitative evidence.</w:t>
      </w:r>
    </w:p>
    <w:p>
      <w:pPr>
        <w:pStyle w:val="Heading2"/>
        <w:spacing w:before="300" w:after="150"/>
      </w:pPr>
      <w:r>
        <w:rPr>
          <w:rFonts w:ascii="Arial" w:cs="Arial" w:eastAsia="Arial" w:hAnsi="Arial"/>
          <w:b/>
          <w:bCs/>
          <w:color w:val="2E4057"/>
          <w:sz w:val="26"/>
          <w:szCs w:val="26"/>
        </w:rPr>
        <w:t xml:space="preserve">NPS Sentiment by Taxonomy</w:t>
      </w:r>
    </w:p>
    <w:p>
      <w:pPr>
        <w:spacing w:after="200"/>
      </w:pPr>
      <w:r>
        <w:rPr>
          <w:rFonts w:ascii="Arial" w:cs="Arial" w:eastAsia="Arial" w:hAnsi="Arial"/>
          <w:b w:val="false"/>
          <w:bCs w:val="false"/>
          <w:color w:val="333333"/>
          <w:sz w:val="22"/>
          <w:szCs w:val="22"/>
        </w:rPr>
        <w:t xml:space="preserve">11,440 NPS responses scored. Results by taxonomy type: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050"/>
        <w:gridCol w:w="950"/>
        <w:gridCol w:w="950"/>
        <w:gridCol w:w="900"/>
        <w:gridCol w:w="900"/>
        <w:gridCol w:w="1160"/>
      </w:tblGrid>
      <w:tr>
        <w:tc>
          <w:tcPr>
            <w:tcW w:type="dxa" w:w="1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Taxonomy</w:t>
            </w:r>
          </w:p>
        </w:tc>
        <w:tc>
          <w:tcPr>
            <w:tcW w:type="dxa" w:w="10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Positive</w:t>
            </w:r>
          </w:p>
        </w:tc>
        <w:tc>
          <w:tcPr>
            <w:tcW w:type="dxa" w:w="10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Negative</w:t>
            </w:r>
          </w:p>
        </w:tc>
        <w:tc>
          <w:tcPr>
            <w:tcW w:type="dxa" w:w="9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Neutral</w:t>
            </w:r>
          </w:p>
        </w:tc>
        <w:tc>
          <w:tcPr>
            <w:tcW w:type="dxa" w:w="9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w:t>
            </w:r>
          </w:p>
        </w:tc>
        <w:tc>
          <w:tcPr>
            <w:tcW w:type="dxa" w:w="9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 %</w:t>
            </w:r>
          </w:p>
        </w:tc>
        <w:tc>
          <w:tcPr>
            <w:tcW w:type="dxa" w:w="9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Neg %</w:t>
            </w:r>
          </w:p>
        </w:tc>
        <w:tc>
          <w:tcPr>
            <w:tcW w:type="dxa" w:w="11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Net</w:t>
            </w:r>
          </w:p>
        </w:tc>
      </w:tr>
      <w:tr>
        <w:tc>
          <w:tcPr>
            <w:tcW w:type="dxa" w:w="1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General</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1,268</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286</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609</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2,163</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58.6%</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13.2%</w:t>
            </w:r>
          </w:p>
        </w:tc>
        <w:tc>
          <w:tcPr>
            <w:tcW w:type="dxa" w:w="116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+45.4</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Usability</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2,716</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1,020</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1,026</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4,762</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57.0%</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21.4%</w:t>
            </w:r>
          </w:p>
        </w:tc>
        <w:tc>
          <w:tcPr>
            <w:tcW w:type="dxa" w:w="1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+35.6</w:t>
            </w:r>
          </w:p>
        </w:tc>
      </w:tr>
      <w:tr>
        <w:tc>
          <w:tcPr>
            <w:tcW w:type="dxa" w:w="1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Functionality</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686</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312</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413</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1,411</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48.6%</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22.1%</w:t>
            </w:r>
          </w:p>
        </w:tc>
        <w:tc>
          <w:tcPr>
            <w:tcW w:type="dxa" w:w="116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+26.5</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Expectation Gap</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144</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116</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153</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413</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34.9%</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28.1%</w:t>
            </w:r>
          </w:p>
        </w:tc>
        <w:tc>
          <w:tcPr>
            <w:tcW w:type="dxa" w:w="1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+6.8</w:t>
            </w:r>
          </w:p>
        </w:tc>
      </w:tr>
      <w:tr>
        <w:tc>
          <w:tcPr>
            <w:tcW w:type="dxa" w:w="1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105</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122</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302</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529</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19.8%</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23.1%</w:t>
            </w:r>
          </w:p>
        </w:tc>
        <w:tc>
          <w:tcPr>
            <w:tcW w:type="dxa" w:w="116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-3.3</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Reliability</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81</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208</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183</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472</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17.2%</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44.1%</w:t>
            </w:r>
          </w:p>
        </w:tc>
        <w:tc>
          <w:tcPr>
            <w:tcW w:type="dxa" w:w="1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-26.9</w:t>
            </w:r>
          </w:p>
        </w:tc>
      </w:tr>
    </w:tbl>
    <w:p>
      <w:pPr>
        <w:spacing w:after="120"/>
      </w:pPr>
      <w:r>
        <w:rPr>
          <w:rFonts w:ascii="Arial" w:cs="Arial" w:eastAsia="Arial" w:hAnsi="Arial"/>
          <w:b w:val="false"/>
          <w:bCs w:val="false"/>
          <w:color w:val="333333"/>
          <w:sz w:val="22"/>
          <w:szCs w:val="22"/>
        </w:rPr>
        <w:t xml:space="preserve"/>
      </w:r>
    </w:p>
    <w:p>
      <w:pPr>
        <w:spacing w:after="300"/>
      </w:pPr>
      <w:r>
        <w:rPr>
          <w:rFonts w:ascii="Arial" w:cs="Arial" w:eastAsia="Arial" w:hAnsi="Arial"/>
          <w:b w:val="false"/>
          <w:bCs w:val="false"/>
          <w:color w:val="333333"/>
          <w:sz w:val="22"/>
          <w:szCs w:val="22"/>
        </w:rPr>
        <w:t xml:space="preserve">General and Usability are clearly positive. Reliability is the standout problem area with 44% of text being negative and a net sentiment of -26.9. Performance is also net negative.</w:t>
      </w:r>
    </w:p>
    <w:p>
      <w:pPr>
        <w:pStyle w:val="Heading2"/>
        <w:spacing w:before="300" w:after="150"/>
      </w:pPr>
      <w:r>
        <w:rPr>
          <w:rFonts w:ascii="Arial" w:cs="Arial" w:eastAsia="Arial" w:hAnsi="Arial"/>
          <w:b/>
          <w:bCs/>
          <w:color w:val="2E4057"/>
          <w:sz w:val="26"/>
          <w:szCs w:val="26"/>
        </w:rPr>
        <w:t xml:space="preserve">CSAT Sentiment by Taxonomy</w:t>
      </w:r>
    </w:p>
    <w:p>
      <w:pPr>
        <w:spacing w:after="200"/>
      </w:pPr>
      <w:r>
        <w:rPr>
          <w:rFonts w:ascii="Arial" w:cs="Arial" w:eastAsia="Arial" w:hAnsi="Arial"/>
          <w:b w:val="false"/>
          <w:bCs w:val="false"/>
          <w:color w:val="333333"/>
          <w:sz w:val="22"/>
          <w:szCs w:val="22"/>
        </w:rPr>
        <w:t xml:space="preserve">528,483 CSAT responses scored. Results by taxonomy type: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050"/>
        <w:gridCol w:w="950"/>
        <w:gridCol w:w="950"/>
        <w:gridCol w:w="900"/>
        <w:gridCol w:w="900"/>
        <w:gridCol w:w="1160"/>
      </w:tblGrid>
      <w:tr>
        <w:tc>
          <w:tcPr>
            <w:tcW w:type="dxa" w:w="1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Taxonomy</w:t>
            </w:r>
          </w:p>
        </w:tc>
        <w:tc>
          <w:tcPr>
            <w:tcW w:type="dxa" w:w="10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Positive</w:t>
            </w:r>
          </w:p>
        </w:tc>
        <w:tc>
          <w:tcPr>
            <w:tcW w:type="dxa" w:w="10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Negative</w:t>
            </w:r>
          </w:p>
        </w:tc>
        <w:tc>
          <w:tcPr>
            <w:tcW w:type="dxa" w:w="9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Neutral</w:t>
            </w:r>
          </w:p>
        </w:tc>
        <w:tc>
          <w:tcPr>
            <w:tcW w:type="dxa" w:w="95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w:t>
            </w:r>
          </w:p>
        </w:tc>
        <w:tc>
          <w:tcPr>
            <w:tcW w:type="dxa" w:w="9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 %</w:t>
            </w:r>
          </w:p>
        </w:tc>
        <w:tc>
          <w:tcPr>
            <w:tcW w:type="dxa" w:w="9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Neg %</w:t>
            </w:r>
          </w:p>
        </w:tc>
        <w:tc>
          <w:tcPr>
            <w:tcW w:type="dxa" w:w="11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Net</w:t>
            </w:r>
          </w:p>
        </w:tc>
      </w:tr>
      <w:tr>
        <w:tc>
          <w:tcPr>
            <w:tcW w:type="dxa" w:w="1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Functionality</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14,581</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4,321</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7,073</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25,975</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56.1%</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16.6%</w:t>
            </w:r>
          </w:p>
        </w:tc>
        <w:tc>
          <w:tcPr>
            <w:tcW w:type="dxa" w:w="116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+39.5</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General</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5,068</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1,437</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3,242</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9,747</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52.0%</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14.7%</w:t>
            </w:r>
          </w:p>
        </w:tc>
        <w:tc>
          <w:tcPr>
            <w:tcW w:type="dxa" w:w="1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+37.3</w:t>
            </w:r>
          </w:p>
        </w:tc>
      </w:tr>
      <w:tr>
        <w:tc>
          <w:tcPr>
            <w:tcW w:type="dxa" w:w="1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Usability</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9,536</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7,971</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5,172</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22,679</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42.0%</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35.1%</w:t>
            </w:r>
          </w:p>
        </w:tc>
        <w:tc>
          <w:tcPr>
            <w:tcW w:type="dxa" w:w="116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+6.9</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Performance</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455</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474</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1,101</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2,030</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22.4%</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23.3%</w:t>
            </w:r>
          </w:p>
        </w:tc>
        <w:tc>
          <w:tcPr>
            <w:tcW w:type="dxa" w:w="1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-0.9</w:t>
            </w:r>
          </w:p>
        </w:tc>
      </w:tr>
      <w:tr>
        <w:tc>
          <w:tcPr>
            <w:tcW w:type="dxa" w:w="1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Expectation Gap</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833</w:t>
            </w:r>
          </w:p>
        </w:tc>
        <w:tc>
          <w:tcPr>
            <w:tcW w:type="dxa" w:w="10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926</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1,006</w:t>
            </w:r>
          </w:p>
        </w:tc>
        <w:tc>
          <w:tcPr>
            <w:tcW w:type="dxa" w:w="95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2,765</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30.1%</w:t>
            </w:r>
          </w:p>
        </w:tc>
        <w:tc>
          <w:tcPr>
            <w:tcW w:type="dxa" w:w="9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33.5%</w:t>
            </w:r>
          </w:p>
        </w:tc>
        <w:tc>
          <w:tcPr>
            <w:tcW w:type="dxa" w:w="116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-3.4</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Reliability</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829</w:t>
            </w:r>
          </w:p>
        </w:tc>
        <w:tc>
          <w:tcPr>
            <w:tcW w:type="dxa" w:w="10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1,675</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1,808</w:t>
            </w:r>
          </w:p>
        </w:tc>
        <w:tc>
          <w:tcPr>
            <w:tcW w:type="dxa" w:w="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4,312</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19.2%</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38.8%</w:t>
            </w:r>
          </w:p>
        </w:tc>
        <w:tc>
          <w:tcPr>
            <w:tcW w:type="dxa" w:w="1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-19.6</w:t>
            </w:r>
          </w:p>
        </w:tc>
      </w:tr>
    </w:tbl>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val="false"/>
          <w:bCs w:val="false"/>
          <w:color w:val="333333"/>
          <w:sz w:val="22"/>
          <w:szCs w:val="22"/>
        </w:rPr>
        <w:t xml:space="preserve">Same pattern as NPS: Reliability is the worst (-19.6), followed by Expectation Gap (-3.4) and Performance (-0.9). Functionality scores much better in CSAT (+39.5) than in NPS (+26.5), suggesting CSAT respondents are more satisfied with feature-level experiences.</w:t>
      </w:r>
    </w:p>
    <w:p>
      <w:pPr>
        <w:spacing w:after="300"/>
      </w:pPr>
      <w:r>
        <w:rPr>
          <w:rFonts w:ascii="Arial" w:cs="Arial" w:eastAsia="Arial" w:hAnsi="Arial"/>
          <w:b w:val="false"/>
          <w:bCs w:val="false"/>
          <w:color w:val="333333"/>
          <w:sz w:val="22"/>
          <w:szCs w:val="22"/>
        </w:rPr>
        <w:t xml:space="preserve">Usability drops significantly from NPS (+35.6) to CSAT (+6.9), meaning ease-of-use frustrations surface more in CSAT feedback.</w:t>
      </w:r>
    </w:p>
    <w:p>
      <w:pPr>
        <w:pStyle w:val="Heading2"/>
        <w:spacing w:before="300" w:after="150"/>
      </w:pPr>
      <w:r>
        <w:rPr>
          <w:rFonts w:ascii="Arial" w:cs="Arial" w:eastAsia="Arial" w:hAnsi="Arial"/>
          <w:b/>
          <w:bCs/>
          <w:color w:val="2E4057"/>
          <w:sz w:val="26"/>
          <w:szCs w:val="26"/>
        </w:rPr>
        <w:t xml:space="preserve">CSAT Sentiment by Survey (Top &amp; Bottom)</w:t>
      </w:r>
    </w:p>
    <w:p>
      <w:pPr>
        <w:spacing w:after="200"/>
      </w:pPr>
      <w:r>
        <w:rPr>
          <w:rFonts w:ascii="Arial" w:cs="Arial" w:eastAsia="Arial" w:hAnsi="Arial"/>
          <w:b/>
          <w:bCs/>
          <w:color w:val="333333"/>
          <w:sz w:val="22"/>
          <w:szCs w:val="22"/>
        </w:rPr>
        <w:t xml:space="preserve">Strongest areas: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tblGrid>
      <w:tr>
        <w:tc>
          <w:tcPr>
            <w:tcW w:type="dxa" w:w="3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Survey Name</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 %</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Neg %</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Net</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w:t>
            </w:r>
          </w:p>
        </w:tc>
      </w:tr>
      <w:tr>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Academy CSAT</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64.6%</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7.8%</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+56.8</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3,001</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Workflows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63.1%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14.3%</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+48.8</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2,137</w:t>
            </w:r>
          </w:p>
        </w:tc>
      </w:tr>
      <w:tr>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Social</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57.6%</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17.0%</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+40.6</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2,436</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Sales Execution - Deal Pipeline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53.2%</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13.2%</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+40.0</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380</w:t>
            </w:r>
          </w:p>
        </w:tc>
      </w:tr>
      <w:tr>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Import Export</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54.8%</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19.5%</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+35.3</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1,229</w:t>
            </w:r>
          </w:p>
        </w:tc>
      </w:tr>
    </w:tbl>
    <w:p>
      <w:pPr>
        <w:spacing w:after="120"/>
      </w:pPr>
      <w:r>
        <w:rPr>
          <w:rFonts w:ascii="Arial" w:cs="Arial" w:eastAsia="Arial" w:hAnsi="Arial"/>
          <w:b w:val="false"/>
          <w:bCs w:val="false"/>
          <w:color w:val="333333"/>
          <w:sz w:val="22"/>
          <w:szCs w:val="22"/>
        </w:rPr>
        <w:t xml:space="preserve"/>
      </w:r>
    </w:p>
    <w:p>
      <w:pPr>
        <w:spacing w:after="200"/>
      </w:pPr>
      <w:r>
        <w:rPr>
          <w:rFonts w:ascii="Arial" w:cs="Arial" w:eastAsia="Arial" w:hAnsi="Arial"/>
          <w:b/>
          <w:bCs/>
          <w:color w:val="333333"/>
          <w:sz w:val="22"/>
          <w:szCs w:val="22"/>
        </w:rPr>
        <w:t xml:space="preserve">Weakest areas: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tblGrid>
      <w:tr>
        <w:tc>
          <w:tcPr>
            <w:tcW w:type="dxa" w:w="3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Survey Name</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 %</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Neg %</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Net</w:t>
            </w:r>
          </w:p>
        </w:tc>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w:t>
            </w:r>
          </w:p>
        </w:tc>
      </w:tr>
      <w:tr>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Account &amp; Billing</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30.4%</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37.6%</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-7.2</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4,460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View Custom Objects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29.1%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47.3%</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-18.2</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55</w:t>
            </w:r>
          </w:p>
        </w:tc>
      </w:tr>
      <w:tr>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Developer View</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32.3%</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39.6%</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-7.3</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96</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Connected Apps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31.0%</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28.7%</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+2.3</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574</w:t>
            </w:r>
          </w:p>
        </w:tc>
      </w:tr>
      <w:tr>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SEO Recs</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34.9%</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30.9%</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+4.0</w:t>
            </w:r>
          </w:p>
        </w:tc>
        <w:tc>
          <w:tcPr>
            <w:tcW w:type="dxa" w:w="1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152</w:t>
            </w:r>
          </w:p>
        </w:tc>
      </w:tr>
    </w:tbl>
    <w:p>
      <w:pPr>
        <w:spacing w:after="120"/>
      </w:pPr>
      <w:r>
        <w:rPr>
          <w:rFonts w:ascii="Arial" w:cs="Arial" w:eastAsia="Arial" w:hAnsi="Arial"/>
          <w:b w:val="false"/>
          <w:bCs w:val="false"/>
          <w:color w:val="333333"/>
          <w:sz w:val="22"/>
          <w:szCs w:val="22"/>
        </w:rPr>
        <w:t xml:space="preserve"/>
      </w:r>
    </w:p>
    <w:p>
      <w:pPr>
        <w:spacing w:after="300"/>
      </w:pPr>
      <w:r>
        <w:rPr>
          <w:rFonts w:ascii="Arial" w:cs="Arial" w:eastAsia="Arial" w:hAnsi="Arial"/>
          <w:b w:val="false"/>
          <w:bCs w:val="false"/>
          <w:color w:val="333333"/>
          <w:sz w:val="22"/>
          <w:szCs w:val="22"/>
        </w:rPr>
        <w:t xml:space="preserve">Academy and Workflows have the strongest text sentiment. Account &amp; Billing is the only high-volume survey with net negative sentiment (-7.2 across 4,460 responses), flagging it as a clear pain point.</w:t>
      </w:r>
    </w:p>
    <w:p>
      <w:pPr>
        <w:pStyle w:val="Heading2"/>
        <w:spacing w:before="300" w:after="150"/>
      </w:pPr>
      <w:r>
        <w:rPr>
          <w:rFonts w:ascii="Arial" w:cs="Arial" w:eastAsia="Arial" w:hAnsi="Arial"/>
          <w:b/>
          <w:bCs/>
          <w:color w:val="2E4057"/>
          <w:sz w:val="26"/>
          <w:szCs w:val="26"/>
        </w:rPr>
        <w:t xml:space="preserve">Cross-Reference: EDA vs VADER</w:t>
      </w:r>
    </w:p>
    <w:p>
      <w:pPr>
        <w:spacing w:after="200"/>
      </w:pPr>
      <w:r>
        <w:rPr>
          <w:rFonts w:ascii="Arial" w:cs="Arial" w:eastAsia="Arial" w:hAnsi="Arial"/>
          <w:b w:val="false"/>
          <w:bCs w:val="false"/>
          <w:color w:val="333333"/>
          <w:sz w:val="22"/>
          <w:szCs w:val="22"/>
        </w:rPr>
        <w:t xml:space="preserve">Does the text match what the numbers showed?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1000"/>
      </w:tblGrid>
      <w:tr>
        <w:tc>
          <w:tcPr>
            <w:tcW w:type="dxa" w:w="15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5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EDA Finding</w:t>
            </w:r>
          </w:p>
        </w:tc>
        <w:tc>
          <w:tcPr>
            <w:tcW w:type="dxa" w:w="28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VADER Finding</w:t>
            </w:r>
          </w:p>
        </w:tc>
        <w:tc>
          <w:tcPr>
            <w:tcW w:type="dxa" w:w="10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Match?</w:t>
            </w:r>
          </w:p>
        </w:tc>
      </w:tr>
      <w:tr>
        <w:tc>
          <w:tcPr>
            <w:tcW w:type="dxa" w:w="1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Reliability</w:t>
            </w:r>
          </w:p>
        </w:tc>
        <w:tc>
          <w:tcPr>
            <w:tcW w:type="dxa" w:w="2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Worst NPS (-65), Lowest CSAT (2.10)</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Worst net sentiment in both NPS (-26.9) and CSAT (-19.6)</w:t>
            </w:r>
          </w:p>
        </w:tc>
        <w:tc>
          <w:tcPr>
            <w:tcW w:type="dxa" w:w="1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Performance</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NPS -69, CSAT 2.60</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Net negative in both NPS (-3.3) and CSAT (-0.9)</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1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Expectation Gap</w:t>
            </w:r>
          </w:p>
        </w:tc>
        <w:tc>
          <w:tcPr>
            <w:tcW w:type="dxa" w:w="2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NPS -63, CSAT 2.27</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Near-zero in both NPS (+6.8) and CSAT (-3.4)</w:t>
            </w:r>
          </w:p>
        </w:tc>
        <w:tc>
          <w:tcPr>
            <w:tcW w:type="dxa" w:w="1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General</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NPS +30, CSAT 3.88</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Strongest sentiment: NPS +45.4, CSAT +37.3</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1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Arial" w:cs="Arial" w:eastAsia="Arial" w:hAnsi="Arial"/>
                <w:sz w:val="18"/>
                <w:szCs w:val="18"/>
              </w:rPr>
              <w:t xml:space="preserve">Usability</w:t>
            </w:r>
          </w:p>
        </w:tc>
        <w:tc>
          <w:tcPr>
            <w:tcW w:type="dxa" w:w="2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NPS +13</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Positive in NPS (+35.6), weaker in CSAT (+6.9)</w:t>
            </w:r>
          </w:p>
        </w:tc>
        <w:tc>
          <w:tcPr>
            <w:tcW w:type="dxa" w:w="1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Mostly</w:t>
            </w:r>
          </w:p>
        </w:tc>
      </w:tr>
    </w:tbl>
    <w:p>
      <w:pPr>
        <w:spacing w:after="120"/>
      </w:pPr>
      <w:r>
        <w:rPr>
          <w:rFonts w:ascii="Arial" w:cs="Arial" w:eastAsia="Arial" w:hAnsi="Arial"/>
          <w:b w:val="false"/>
          <w:bCs w:val="false"/>
          <w:color w:val="333333"/>
          <w:sz w:val="22"/>
          <w:szCs w:val="22"/>
        </w:rPr>
        <w:t xml:space="preserve"/>
      </w:r>
    </w:p>
    <w:p>
      <w:pPr>
        <w:spacing w:after="300"/>
      </w:pPr>
      <w:r>
        <w:rPr>
          <w:rFonts w:ascii="Arial" w:cs="Arial" w:eastAsia="Arial" w:hAnsi="Arial"/>
          <w:b w:val="false"/>
          <w:bCs w:val="false"/>
          <w:color w:val="333333"/>
          <w:sz w:val="22"/>
          <w:szCs w:val="22"/>
        </w:rPr>
        <w:t xml:space="preserve">The text confirms the numbers across both surveys. Customers writing about Reliability and Performance are using genuinely negative language. The one nuance is Usability, which scores well in NPS text but drops in CSAT, suggesting different user segments or contexts are surfacing different frustrations.</w:t>
      </w:r>
    </w:p>
    <w:p>
      <w:pPr>
        <w:pStyle w:val="Heading2"/>
        <w:spacing w:before="300" w:after="150"/>
      </w:pPr>
      <w:r>
        <w:rPr>
          <w:rFonts w:ascii="Arial" w:cs="Arial" w:eastAsia="Arial" w:hAnsi="Arial"/>
          <w:b/>
          <w:bCs/>
          <w:color w:val="2E4057"/>
          <w:sz w:val="26"/>
          <w:szCs w:val="26"/>
        </w:rPr>
        <w:t xml:space="preserve">Key Takeaways</w:t>
      </w:r>
    </w:p>
    <w:p>
      <w:pPr>
        <w:spacing w:after="120"/>
      </w:pPr>
      <w:r>
        <w:rPr>
          <w:rFonts w:ascii="Arial" w:cs="Arial" w:eastAsia="Arial" w:hAnsi="Arial"/>
          <w:b w:val="false"/>
          <w:bCs w:val="false"/>
          <w:color w:val="333333"/>
          <w:sz w:val="22"/>
          <w:szCs w:val="22"/>
        </w:rPr>
        <w:t xml:space="preserve">Reliability is the top priority. It has the worst sentiment in both NPS (-26.9) and CSAT (-19.6), with the highest share of negative text across all taxonomies.</w:t>
      </w:r>
    </w:p>
    <w:p>
      <w:pPr>
        <w:spacing w:after="120"/>
      </w:pPr>
      <w:r>
        <w:rPr>
          <w:rFonts w:ascii="Arial" w:cs="Arial" w:eastAsia="Arial" w:hAnsi="Arial"/>
          <w:b w:val="false"/>
          <w:bCs w:val="false"/>
          <w:color w:val="333333"/>
          <w:sz w:val="22"/>
          <w:szCs w:val="22"/>
        </w:rPr>
        <w:t xml:space="preserve">Performance and Expectation Gap are secondary concerns. Both are near-zero or net negative in text sentiment, consistent with their poor numeric scores.</w:t>
      </w:r>
    </w:p>
    <w:p>
      <w:pPr>
        <w:spacing w:after="120"/>
      </w:pPr>
      <w:r>
        <w:rPr>
          <w:rFonts w:ascii="Arial" w:cs="Arial" w:eastAsia="Arial" w:hAnsi="Arial"/>
          <w:b w:val="false"/>
          <w:bCs w:val="false"/>
          <w:color w:val="333333"/>
          <w:sz w:val="22"/>
          <w:szCs w:val="22"/>
        </w:rPr>
        <w:t xml:space="preserve">Account &amp; Billing needs attention. It is the only high-volume CSAT survey area with net negative text sentiment.</w:t>
      </w:r>
    </w:p>
    <w:p>
      <w:pPr>
        <w:spacing w:after="120"/>
      </w:pPr>
      <w:r>
        <w:rPr>
          <w:rFonts w:ascii="Arial" w:cs="Arial" w:eastAsia="Arial" w:hAnsi="Arial"/>
          <w:b w:val="false"/>
          <w:bCs w:val="false"/>
          <w:color w:val="333333"/>
          <w:sz w:val="22"/>
          <w:szCs w:val="22"/>
        </w:rPr>
        <w:t xml:space="preserve">General satisfaction is strong. Both surveys show that customers writing general feedback or about ease of use are overwhelmingly positive.</w:t>
      </w:r>
    </w:p>
    <w:p>
      <w:pPr>
        <w:spacing w:after="120"/>
      </w:pPr>
      <w:r>
        <w:rPr>
          <w:rFonts w:ascii="Arial" w:cs="Arial" w:eastAsia="Arial" w:hAnsi="Arial"/>
          <w:b w:val="false"/>
          <w:bCs w:val="false"/>
          <w:color w:val="333333"/>
          <w:sz w:val="22"/>
          <w:szCs w:val="22"/>
        </w:rPr>
        <w:t xml:space="preserve">The qualitative data backs up the quantitative data. VADER results align with EDA findings across every taxonomy, giving confidence that these patterns are real and not artifacts of the scoring methodology.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2026-02-17T17:21:20.923Z</dcterms:created>
  <dcterms:modified xsi:type="dcterms:W3CDTF">2026-02-17T17:21:20.924Z</dcterms:modified>
</cp:coreProperties>
</file>

<file path=docProps/custom.xml><?xml version="1.0" encoding="utf-8"?>
<Properties xmlns="http://schemas.openxmlformats.org/officeDocument/2006/custom-properties" xmlns:vt="http://schemas.openxmlformats.org/officeDocument/2006/docPropsVTypes"/>
</file>