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2C59"/>
          <w:sz w:val="28"/>
        </w:rPr>
        <w:t>UNIVERSIDAD DE VALLADOLID</w:t>
      </w:r>
    </w:p>
    <w:p>
      <w:pPr>
        <w:spacing w:before="0" w:after="480"/>
      </w:pPr>
      <w:r>
        <w:rPr>
          <w:rFonts w:ascii="Arial" w:hAnsi="Arial"/>
          <w:color w:val="0284C7"/>
          <w:sz w:val="21"/>
        </w:rPr>
        <w:t>ESCUELA DE INGENIERÍAS INDUSTRIALES</w:t>
        <w:br/>
        <w:t>Grado en Ingeniería Energética · Departamento de Organización de Empresas</w:t>
      </w:r>
    </w:p>
    <w:p>
      <w:pPr>
        <w:spacing w:before="0" w:after="560"/>
      </w:pPr>
      <w:r>
        <w:rPr>
          <w:color w:val="0284C7"/>
        </w:rPr>
        <w:t>━━━━━━━━━━━━━━━━━━━━━━━━━━━━━━━━━━━━━━━━━━━━━━━━━━━━</w:t>
      </w:r>
    </w:p>
    <w:p>
      <w:pPr>
        <w:spacing w:before="0" w:after="200"/>
      </w:pPr>
      <w:r>
        <w:rPr>
          <w:rFonts w:ascii="Arial" w:hAnsi="Arial"/>
          <w:b/>
          <w:color w:val="0F2C59"/>
          <w:sz w:val="40"/>
        </w:rPr>
        <w:t>MEMORIA DE INVESTIGACIÓN TÉCNICO-ECONÓMICA</w:t>
      </w:r>
    </w:p>
    <w:p>
      <w:pPr>
        <w:spacing w:before="0" w:after="560" w:line="300" w:lineRule="auto"/>
      </w:pPr>
      <w:r>
        <w:rPr>
          <w:rFonts w:ascii="Arial" w:hAnsi="Arial"/>
          <w:color w:val="334155"/>
          <w:sz w:val="24"/>
        </w:rPr>
        <w:t>Los Reactores Modulares Pequeños (SMR) en el Sistema Energético Europeo: Análisis de Integración en el Mercado Marginalista, Competitividad del LCOE, Modelos de Financiación (CfD/RAB) y Mitigación de CO₂ en el Horizonte 2030-2040</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3168"/>
            <w:shd w:fill="F1F5F9"/>
            <w:tcMar>
              <w:top w:w="80" w:type="dxa"/>
              <w:bottom w:w="80" w:type="dxa"/>
              <w:left w:w="100" w:type="dxa"/>
              <w:right w:w="100" w:type="dxa"/>
            </w:tcMar>
          </w:tcPr>
          <w:p>
            <w:pPr>
              <w:spacing w:before="0" w:after="0"/>
            </w:pPr>
            <w:r>
              <w:rPr>
                <w:rFonts w:ascii="Arial" w:hAnsi="Arial"/>
                <w:b/>
                <w:color w:val="0F2C59"/>
                <w:sz w:val="19"/>
              </w:rPr>
              <w:t>Asignatura:</w:t>
            </w:r>
          </w:p>
        </w:tc>
        <w:tc>
          <w:tcPr>
            <w:tcW w:type="dxa" w:w="6192"/>
            <w:shd w:fill="FFFFFF"/>
            <w:tcMar>
              <w:top w:w="80" w:type="dxa"/>
              <w:bottom w:w="80" w:type="dxa"/>
              <w:left w:w="100" w:type="dxa"/>
              <w:right w:w="100" w:type="dxa"/>
            </w:tcMar>
          </w:tcPr>
          <w:p>
            <w:pPr>
              <w:spacing w:before="0" w:after="0"/>
            </w:pPr>
            <w:r>
              <w:rPr>
                <w:rFonts w:ascii="Arial" w:hAnsi="Arial"/>
                <w:color w:val="1E293B"/>
                <w:sz w:val="19"/>
              </w:rPr>
              <w:t>Economía de los Sistemas Energéticos (4º Curso)</w:t>
            </w:r>
          </w:p>
        </w:tc>
      </w:tr>
      <w:tr>
        <w:tc>
          <w:tcPr>
            <w:tcW w:type="dxa" w:w="3168"/>
            <w:shd w:fill="F1F5F9"/>
            <w:tcMar>
              <w:top w:w="80" w:type="dxa"/>
              <w:bottom w:w="80" w:type="dxa"/>
              <w:left w:w="100" w:type="dxa"/>
              <w:right w:w="100" w:type="dxa"/>
            </w:tcMar>
          </w:tcPr>
          <w:p>
            <w:pPr>
              <w:spacing w:before="0" w:after="0"/>
            </w:pPr>
            <w:r>
              <w:rPr>
                <w:rFonts w:ascii="Arial" w:hAnsi="Arial"/>
                <w:b/>
                <w:color w:val="0F2C59"/>
                <w:sz w:val="19"/>
              </w:rPr>
              <w:t>Equipo de Redacción:</w:t>
            </w:r>
          </w:p>
        </w:tc>
        <w:tc>
          <w:tcPr>
            <w:tcW w:type="dxa" w:w="6192"/>
            <w:shd w:fill="FFFFFF"/>
            <w:tcMar>
              <w:top w:w="80" w:type="dxa"/>
              <w:bottom w:w="80" w:type="dxa"/>
              <w:left w:w="100" w:type="dxa"/>
              <w:right w:w="100" w:type="dxa"/>
            </w:tcMar>
          </w:tcPr>
          <w:p>
            <w:pPr>
              <w:spacing w:before="0" w:after="0"/>
            </w:pPr>
            <w:r>
              <w:rPr>
                <w:rFonts w:ascii="Arial" w:hAnsi="Arial"/>
                <w:b/>
                <w:color w:val="1E293B"/>
                <w:sz w:val="19"/>
              </w:rPr>
              <w:t>Javier García Cuñado</w:t>
              <w:br/>
              <w:t>Carlos Moreno Gutiérrez</w:t>
              <w:br/>
              <w:t>Jorge Seco García</w:t>
            </w:r>
          </w:p>
        </w:tc>
      </w:tr>
      <w:tr>
        <w:tc>
          <w:tcPr>
            <w:tcW w:type="dxa" w:w="3168"/>
            <w:shd w:fill="F1F5F9"/>
            <w:tcMar>
              <w:top w:w="80" w:type="dxa"/>
              <w:bottom w:w="80" w:type="dxa"/>
              <w:left w:w="100" w:type="dxa"/>
              <w:right w:w="100" w:type="dxa"/>
            </w:tcMar>
          </w:tcPr>
          <w:p>
            <w:pPr>
              <w:spacing w:before="0" w:after="0"/>
            </w:pPr>
            <w:r>
              <w:rPr>
                <w:rFonts w:ascii="Arial" w:hAnsi="Arial"/>
                <w:b/>
                <w:color w:val="0F2C59"/>
                <w:sz w:val="19"/>
              </w:rPr>
              <w:t>Marco Normativo &amp; Sectorial:</w:t>
            </w:r>
          </w:p>
        </w:tc>
        <w:tc>
          <w:tcPr>
            <w:tcW w:type="dxa" w:w="6192"/>
            <w:shd w:fill="FFFFFF"/>
            <w:tcMar>
              <w:top w:w="80" w:type="dxa"/>
              <w:bottom w:w="80" w:type="dxa"/>
              <w:left w:w="100" w:type="dxa"/>
              <w:right w:w="100" w:type="dxa"/>
            </w:tcMar>
          </w:tcPr>
          <w:p>
            <w:pPr>
              <w:spacing w:before="0" w:after="0"/>
            </w:pPr>
            <w:r>
              <w:rPr>
                <w:rFonts w:ascii="Arial" w:hAnsi="Arial"/>
                <w:color w:val="1E293B"/>
                <w:sz w:val="19"/>
              </w:rPr>
              <w:t>Alianza Industrial Europea de SMRs (Comisión Europea, DG ENER)</w:t>
              <w:br/>
              <w:t>Estrategia de Descarbonización UE 2040 (-90% GEI)</w:t>
            </w:r>
          </w:p>
        </w:tc>
      </w:tr>
      <w:tr>
        <w:tc>
          <w:tcPr>
            <w:tcW w:type="dxa" w:w="3168"/>
            <w:shd w:fill="F1F5F9"/>
            <w:tcMar>
              <w:top w:w="80" w:type="dxa"/>
              <w:bottom w:w="80" w:type="dxa"/>
              <w:left w:w="100" w:type="dxa"/>
              <w:right w:w="100" w:type="dxa"/>
            </w:tcMar>
          </w:tcPr>
          <w:p>
            <w:pPr>
              <w:spacing w:before="0" w:after="0"/>
            </w:pPr>
            <w:r>
              <w:rPr>
                <w:rFonts w:ascii="Arial" w:hAnsi="Arial"/>
                <w:b/>
                <w:color w:val="0F2C59"/>
                <w:sz w:val="19"/>
              </w:rPr>
              <w:t>Código de Registro Oficial:</w:t>
            </w:r>
          </w:p>
        </w:tc>
        <w:tc>
          <w:tcPr>
            <w:tcW w:type="dxa" w:w="6192"/>
            <w:shd w:fill="FFFFFF"/>
            <w:tcMar>
              <w:top w:w="80" w:type="dxa"/>
              <w:bottom w:w="80" w:type="dxa"/>
              <w:left w:w="100" w:type="dxa"/>
              <w:right w:w="100" w:type="dxa"/>
            </w:tcMar>
          </w:tcPr>
          <w:p>
            <w:pPr>
              <w:spacing w:before="0" w:after="0"/>
            </w:pPr>
            <w:r>
              <w:rPr>
                <w:rFonts w:ascii="Arial" w:hAnsi="Arial"/>
                <w:color w:val="1E293B"/>
                <w:sz w:val="19"/>
              </w:rPr>
              <w:t>DOC-ESE-2026-SMR-UVa · Revisión 1.0 (Definitiva)</w:t>
            </w:r>
          </w:p>
        </w:tc>
      </w:tr>
      <w:tr>
        <w:tc>
          <w:tcPr>
            <w:tcW w:type="dxa" w:w="3168"/>
            <w:shd w:fill="F1F5F9"/>
            <w:tcMar>
              <w:top w:w="80" w:type="dxa"/>
              <w:bottom w:w="80" w:type="dxa"/>
              <w:left w:w="100" w:type="dxa"/>
              <w:right w:w="100" w:type="dxa"/>
            </w:tcMar>
          </w:tcPr>
          <w:p>
            <w:pPr>
              <w:spacing w:before="0" w:after="0"/>
            </w:pPr>
            <w:r>
              <w:rPr>
                <w:rFonts w:ascii="Arial" w:hAnsi="Arial"/>
                <w:b/>
                <w:color w:val="0F2C59"/>
                <w:sz w:val="19"/>
              </w:rPr>
              <w:t>Fecha de Publicación:</w:t>
            </w:r>
          </w:p>
        </w:tc>
        <w:tc>
          <w:tcPr>
            <w:tcW w:type="dxa" w:w="6192"/>
            <w:shd w:fill="FFFFFF"/>
            <w:tcMar>
              <w:top w:w="80" w:type="dxa"/>
              <w:bottom w:w="80" w:type="dxa"/>
              <w:left w:w="100" w:type="dxa"/>
              <w:right w:w="100" w:type="dxa"/>
            </w:tcMar>
          </w:tcPr>
          <w:p>
            <w:pPr>
              <w:spacing w:before="0" w:after="0"/>
            </w:pPr>
            <w:r>
              <w:rPr>
                <w:rFonts w:ascii="Arial" w:hAnsi="Arial"/>
                <w:color w:val="1E293B"/>
                <w:sz w:val="19"/>
              </w:rPr>
              <w:t>Octubre de 2026 · Valladolid, España</w:t>
            </w:r>
          </w:p>
        </w:tc>
      </w:tr>
    </w:tbl>
    <w:p>
      <w:pPr>
        <w:spacing w:before="560" w:after="0"/>
      </w:pPr>
      <w:r>
        <w:rPr>
          <w:rFonts w:ascii="Arial" w:hAnsi="Arial"/>
          <w:i/>
          <w:color w:val="64748B"/>
          <w:sz w:val="17"/>
        </w:rPr>
        <w:t>Herramienta Digital Interactiva Asociada: Visualizador Georreferenciado y Simulador de Mercado SMR (Software Local de Ingeniería, archivos ABRIR_MAPA_SMR.bat y ABRIR_EXPLORADOR_SMR_3D.bat).</w:t>
      </w:r>
    </w:p>
    <w:p>
      <w:r>
        <w:br w:type="page"/>
      </w:r>
    </w:p>
    <w:p>
      <w:pPr>
        <w:keepNext/>
        <w:spacing w:before="360" w:after="120"/>
      </w:pPr>
      <w:r>
        <w:rPr>
          <w:rFonts w:ascii="Arial" w:hAnsi="Arial"/>
          <w:b/>
          <w:color w:val="0F2C59"/>
          <w:sz w:val="28"/>
        </w:rPr>
        <w:t>Resumen Ejecutivo</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left w:val="single" w:sz="24" w:space="0" w:color="0284C7"/>
              <w:top w:val="none"/>
              <w:right w:val="none"/>
              <w:bottom w:val="none"/>
            </w:tcBorders>
          </w:tcPr>
          <w:p>
            <w:pPr>
              <w:spacing w:before="0" w:after="80"/>
            </w:pPr>
            <w:r>
              <w:rPr>
                <w:rFonts w:ascii="Arial" w:hAnsi="Arial"/>
                <w:b/>
                <w:color w:val="0284C7"/>
                <w:sz w:val="20"/>
              </w:rPr>
              <w:t>■ SÍNTESIS PARA LA DIRECCIÓN GENERAL Y EL COMITÉ DE EVALUACIÓN</w:t>
              <w:br/>
            </w:r>
            <w:r>
              <w:rPr>
                <w:rFonts w:ascii="Arial" w:hAnsi="Arial"/>
                <w:i/>
                <w:color w:val="1E293B"/>
                <w:sz w:val="19"/>
              </w:rPr>
              <w:t>La presente Memoria Técnico-Económica evalúa la viabilidad, el encaje de mercado y la competitividad financiera de los Reactores Modulares Pequeños (SMR) dentro de la arquitectura energética de la Unión Europea para los horizontes 2030 y 2040. Frente a la gran energía nuclear tradicional, aquejada de sobrecostes financieros inasumibles y plazos de construcción superiores a 12 años, los SMRs sustituyen la economía de escala por la economía de serie modular (factory fabrication), reduciendo los periodos de obra a 36-48 meses y conteniendo los intereses durante la construcción (IDC). Con un LCOE comercial estimado entre 54 y 65 €/MWh para unidades NOAK y una huella de carbono de ciclo de vida de apenas 5-12 g CO₂/kWh, los SMRs representan una solución de generación firme libre de carbono y un ancla indispensable de inercia síncrona para sistemas con muy alta penetración de renovables intermitentes.</w:t>
            </w:r>
          </w:p>
        </w:tc>
      </w:tr>
    </w:tbl>
    <w:p>
      <w:pPr>
        <w:spacing w:before="0" w:after="120"/>
      </w:pPr>
    </w:p>
    <w:p>
      <w:pPr>
        <w:keepNext/>
        <w:spacing w:before="280" w:after="80"/>
      </w:pPr>
      <w:r>
        <w:rPr>
          <w:rFonts w:ascii="Arial" w:hAnsi="Arial"/>
          <w:b/>
          <w:color w:val="1E3A8A"/>
          <w:sz w:val="24"/>
        </w:rPr>
        <w:t>Puntos Clave del Dictamen de Ingeniería:</w:t>
      </w:r>
    </w:p>
    <w:p>
      <w:pPr>
        <w:pStyle w:val="ListBullet"/>
        <w:spacing w:before="40" w:after="80" w:line="276" w:lineRule="auto"/>
      </w:pPr>
      <w:r>
        <w:rPr>
          <w:rFonts w:ascii="Arial" w:hAnsi="Arial"/>
          <w:b/>
          <w:color w:val="0F2C59"/>
          <w:sz w:val="19"/>
        </w:rPr>
        <w:t>Ruptura del Modelo de Financiación:</w:t>
      </w:r>
      <w:r>
        <w:rPr>
          <w:rFonts w:ascii="Arial" w:hAnsi="Arial"/>
          <w:color w:val="1E293B"/>
          <w:sz w:val="19"/>
        </w:rPr>
        <w:t xml:space="preserve"> El paso de megaproyectos de obra civil singular a módulos estandarizados montados en taller abate drásticamente el riesgo de retrasos y reduce el capital inmovilizado, permitiendo esquemas de inversión incremental escalonada.</w:t>
      </w:r>
    </w:p>
    <w:p>
      <w:pPr>
        <w:pStyle w:val="ListBullet"/>
        <w:spacing w:before="40" w:after="80" w:line="276" w:lineRule="auto"/>
      </w:pPr>
      <w:r>
        <w:rPr>
          <w:rFonts w:ascii="Arial" w:hAnsi="Arial"/>
          <w:b/>
          <w:color w:val="0F2C59"/>
          <w:sz w:val="19"/>
        </w:rPr>
        <w:t>Aporte Crítico a la Estabilidad de Red:</w:t>
      </w:r>
      <w:r>
        <w:rPr>
          <w:rFonts w:ascii="Arial" w:hAnsi="Arial"/>
          <w:color w:val="1E293B"/>
          <w:sz w:val="19"/>
        </w:rPr>
        <w:t xml:space="preserve"> Los turbogeneradores síncronos de los SMRs proporcionan inercia física instantánea (constante H ≈ 4-6 s) y capacidad de seguimiento de carga (rampas del 5% Pn/min), resolviendo la degradación del RoCoF (df/dt) derivada del cierre de térmicas.</w:t>
      </w:r>
    </w:p>
    <w:p>
      <w:pPr>
        <w:pStyle w:val="ListBullet"/>
        <w:spacing w:before="40" w:after="80" w:line="276" w:lineRule="auto"/>
      </w:pPr>
      <w:r>
        <w:rPr>
          <w:rFonts w:ascii="Arial" w:hAnsi="Arial"/>
          <w:b/>
          <w:color w:val="0F2C59"/>
          <w:sz w:val="19"/>
        </w:rPr>
        <w:t>Acoplamiento Sectorial y Calor de Proceso:</w:t>
      </w:r>
      <w:r>
        <w:rPr>
          <w:rFonts w:ascii="Arial" w:hAnsi="Arial"/>
          <w:color w:val="1E293B"/>
          <w:sz w:val="19"/>
        </w:rPr>
        <w:t xml:space="preserve"> Más del 50% del consumo de energía final europea es energía térmica. Los SMRs suministran vapor a alta temperatura (300 °C - 750 °C) para descarbonizar la industria química, la calefacción distrital urbana y la producción de hidrógeno limpio mediante electrólisis de alta temperatura (SOEC) con eficiencias &gt;85%.</w:t>
      </w:r>
    </w:p>
    <w:p>
      <w:pPr>
        <w:pStyle w:val="ListBullet"/>
        <w:spacing w:before="40" w:after="80" w:line="276" w:lineRule="auto"/>
      </w:pPr>
      <w:r>
        <w:rPr>
          <w:rFonts w:ascii="Arial" w:hAnsi="Arial"/>
          <w:b/>
          <w:color w:val="0F2C59"/>
          <w:sz w:val="19"/>
        </w:rPr>
        <w:t>Estrategia 'Coal-to-Nuclear' (C2N):</w:t>
      </w:r>
      <w:r>
        <w:rPr>
          <w:rFonts w:ascii="Arial" w:hAnsi="Arial"/>
          <w:color w:val="1E293B"/>
          <w:sz w:val="19"/>
        </w:rPr>
        <w:t xml:space="preserve"> La sustitución de centrales de carbón en cuencas de transición justa genera ahorros de hasta el 30% del CAPEX total por reutilización de subestaciones de 220/400 kV, concesiones de agua de refrigeración y líneas de evacuación.</w:t>
      </w:r>
    </w:p>
    <w:p>
      <w:pPr>
        <w:pStyle w:val="ListBullet"/>
        <w:spacing w:before="40" w:after="80" w:line="276" w:lineRule="auto"/>
      </w:pPr>
      <w:r>
        <w:rPr>
          <w:rFonts w:ascii="Arial" w:hAnsi="Arial"/>
          <w:b/>
          <w:color w:val="0F2C59"/>
          <w:sz w:val="19"/>
        </w:rPr>
        <w:t>Asimetría Regulatoria España vs Europa Central:</w:t>
      </w:r>
      <w:r>
        <w:rPr>
          <w:rFonts w:ascii="Arial" w:hAnsi="Arial"/>
          <w:color w:val="1E293B"/>
          <w:sz w:val="19"/>
        </w:rPr>
        <w:t xml:space="preserve"> Mientras Polonia, Chequia, Suecia, Finlandia, Reino Unido y Francia impulsan la Alianza SMR, España mantiene en su PNIEC 2023-2030 el cierre paulatino del parque nuclear (2027-2035) y concentra su estrategia en valles renovables de hidrógeno verde basados en electrolizadores (como el proyecto de 2 GW de Moeve en Huelva y San Roque).</w:t>
      </w:r>
    </w:p>
    <w:p>
      <w:r>
        <w:br w:type="page"/>
      </w:r>
    </w:p>
    <w:p>
      <w:pPr>
        <w:keepNext/>
        <w:spacing w:before="360" w:after="120"/>
      </w:pPr>
      <w:r>
        <w:rPr>
          <w:rFonts w:ascii="Arial" w:hAnsi="Arial"/>
          <w:b/>
          <w:color w:val="0F2C59"/>
          <w:sz w:val="28"/>
        </w:rPr>
        <w:t>1. Introducción, Justificación Técnico-Económica y Fundamentos de los SMR</w:t>
      </w:r>
    </w:p>
    <w:p>
      <w:pPr>
        <w:spacing w:before="0" w:after="120" w:line="276" w:lineRule="auto"/>
      </w:pPr>
      <w:r>
        <w:rPr>
          <w:rFonts w:ascii="Arial" w:hAnsi="Arial"/>
          <w:color w:val="1E293B"/>
          <w:sz w:val="20"/>
        </w:rPr>
        <w:t>En el marco del Pacto Verde Europeo y el objetivo vinculante de reducción del 90% de emisiones netas de gases de efecto invernadero para 2040 respecto a 1990, los planificadores del sistema energético se enfrentan a la resolución del trilema clásico: seguridad de suministro 24/7, sostenibilidad climática integral y contención de costes para la competitividad industrial.</w:t>
        <w:br/>
        <w:br/>
        <w:t>La energía nuclear convencional de Generación III/III+ (reactores de 1.000 a 1.650 MWe, tales como el EPR-1600 o el AP1000) ha evidenciado severas limitaciones en el contexto financiero occidental. Los proyectos ejecutados en las dos últimas décadas (Flamanville-3 en Francia, Olkiluoto-3 en Finlandia, Vogtle-3 y 4 en EE.UU.) experimentaron plazos de construcción reales de entre 12 y 17 años y costes de capital que escalaron desde los 3.500 M€ presupuestados hasta superar los 13.000 M€ por unidad. Este fenómeno no se debe al coste del combustible ni a la termodinámica del reactor, sino a la acumulación exponencial de intereses durante la construcción (IDC) y al riesgo asimétrico de ejecución en obra civil compleja a la intemperie.</w:t>
      </w:r>
    </w:p>
    <w:p>
      <w:pPr>
        <w:keepNext/>
        <w:spacing w:before="280" w:after="80"/>
      </w:pPr>
      <w:r>
        <w:rPr>
          <w:rFonts w:ascii="Arial" w:hAnsi="Arial"/>
          <w:b/>
          <w:color w:val="1E3A8A"/>
          <w:sz w:val="24"/>
        </w:rPr>
        <w:t>1.1. El Paradigma Modular: De las Economías de Escala a las Economías de Serie</w:t>
      </w:r>
    </w:p>
    <w:p>
      <w:pPr>
        <w:spacing w:before="0" w:after="120" w:line="276" w:lineRule="auto"/>
      </w:pPr>
      <w:r>
        <w:rPr>
          <w:rFonts w:ascii="Arial" w:hAnsi="Arial"/>
          <w:color w:val="1E293B"/>
          <w:sz w:val="20"/>
        </w:rPr>
        <w:t>Los Reactores Modulares Pequeños (SMR), definidos por el Organismo Internacional de Energía Atómica (IAEA) como unidades de potencia unitaria neta de hasta 300 MWe (y microrreactores por debajo de 20 MWe), proponen un cambio radical en la función de costes de producción. El reactor completo, incluyendo la vasija de presión, los mecanismos de barras de control y los generadores de vapor primarios, se ensambla de forma íntegra y serializada en instalaciones industriales controladas. Posteriormente, los módulos se transportan mediante ferrocarril, barcaza fluvial o transporte especial por carretera hasta el emplazamiento definitivo.</w:t>
        <w:br/>
        <w:br/>
        <w:t>Esta aproximación modular confiere cuatro ventajas estratégicas de ingeniería económica:</w:t>
        <w:br/>
        <w:t>1. Compresión del cronograma de obra: Reducción del periodo crítico de construcción in situ a 36-48 meses.</w:t>
        <w:br/>
        <w:t>2. Reducción del IDC: Disminución de los costes financieros intercalares en más de un 65% respecto a un reactor convencional.</w:t>
        <w:br/>
        <w:t>3. Modularidad escalonada del capital: Posibilidad de instalar un primer módulo de 300 MWe para generar ingresos comerciales inmediatos con los que autofinanciar la adición progresiva de unidades gemelas posteriores.</w:t>
        <w:br/>
        <w:t>4. Seguridad pasiva inherente: La menor potencia térmica residual permite disipar el calor por convección natural y gravedad durante al menos 72 horas en ausencia total de energía eléctrica exterior (Station Blackout - SBO), prescindiendo de costosos sistemas de emergencia diésel cuádruplemente redundantes.</w:t>
      </w:r>
    </w:p>
    <w:p>
      <w:pPr>
        <w:keepNext/>
        <w:spacing w:before="280" w:after="80"/>
      </w:pPr>
      <w:r>
        <w:rPr>
          <w:rFonts w:ascii="Arial" w:hAnsi="Arial"/>
          <w:b/>
          <w:color w:val="1E3A8A"/>
          <w:sz w:val="24"/>
        </w:rPr>
        <w:t>1.2. Taxonomía Tecnológica de los SMRs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0F2C59"/>
            <w:tcMar>
              <w:top w:w="100" w:type="dxa"/>
              <w:bottom w:w="100" w:type="dxa"/>
              <w:left w:w="80" w:type="dxa"/>
              <w:right w:w="80" w:type="dxa"/>
            </w:tcMar>
          </w:tcPr>
          <w:p>
            <w:pPr>
              <w:jc w:val="center"/>
            </w:pPr>
            <w:r>
              <w:rPr>
                <w:rFonts w:ascii="Arial" w:hAnsi="Arial"/>
                <w:b/>
                <w:color w:val="FFFFFF"/>
                <w:sz w:val="17"/>
              </w:rPr>
              <w:t>Familia Tecnológica</w:t>
            </w:r>
          </w:p>
        </w:tc>
        <w:tc>
          <w:tcPr>
            <w:tcW w:type="dxa" w:w="1728"/>
            <w:shd w:fill="0F2C59"/>
            <w:tcMar>
              <w:top w:w="100" w:type="dxa"/>
              <w:bottom w:w="100" w:type="dxa"/>
              <w:left w:w="80" w:type="dxa"/>
              <w:right w:w="80" w:type="dxa"/>
            </w:tcMar>
          </w:tcPr>
          <w:p>
            <w:pPr>
              <w:jc w:val="center"/>
            </w:pPr>
            <w:r>
              <w:rPr>
                <w:rFonts w:ascii="Arial" w:hAnsi="Arial"/>
                <w:b/>
                <w:color w:val="FFFFFF"/>
                <w:sz w:val="17"/>
              </w:rPr>
              <w:t>Refrigerante &amp; Moderador</w:t>
            </w:r>
          </w:p>
        </w:tc>
        <w:tc>
          <w:tcPr>
            <w:tcW w:type="dxa" w:w="1728"/>
            <w:shd w:fill="0F2C59"/>
            <w:tcMar>
              <w:top w:w="100" w:type="dxa"/>
              <w:bottom w:w="100" w:type="dxa"/>
              <w:left w:w="80" w:type="dxa"/>
              <w:right w:w="80" w:type="dxa"/>
            </w:tcMar>
          </w:tcPr>
          <w:p>
            <w:pPr>
              <w:jc w:val="center"/>
            </w:pPr>
            <w:r>
              <w:rPr>
                <w:rFonts w:ascii="Arial" w:hAnsi="Arial"/>
                <w:b/>
                <w:color w:val="FFFFFF"/>
                <w:sz w:val="17"/>
              </w:rPr>
              <w:t>Temperatura de Salida</w:t>
            </w:r>
          </w:p>
        </w:tc>
        <w:tc>
          <w:tcPr>
            <w:tcW w:type="dxa" w:w="1584"/>
            <w:shd w:fill="0F2C59"/>
            <w:tcMar>
              <w:top w:w="100" w:type="dxa"/>
              <w:bottom w:w="100" w:type="dxa"/>
              <w:left w:w="80" w:type="dxa"/>
              <w:right w:w="80" w:type="dxa"/>
            </w:tcMar>
          </w:tcPr>
          <w:p>
            <w:pPr>
              <w:jc w:val="center"/>
            </w:pPr>
            <w:r>
              <w:rPr>
                <w:rFonts w:ascii="Arial" w:hAnsi="Arial"/>
                <w:b/>
                <w:color w:val="FFFFFF"/>
                <w:sz w:val="17"/>
              </w:rPr>
              <w:t>Eficiencia Térmica</w:t>
            </w:r>
          </w:p>
        </w:tc>
        <w:tc>
          <w:tcPr>
            <w:tcW w:type="dxa" w:w="2448"/>
            <w:shd w:fill="0F2C59"/>
            <w:tcMar>
              <w:top w:w="100" w:type="dxa"/>
              <w:bottom w:w="100" w:type="dxa"/>
              <w:left w:w="80" w:type="dxa"/>
              <w:right w:w="80" w:type="dxa"/>
            </w:tcMar>
          </w:tcPr>
          <w:p>
            <w:pPr>
              <w:jc w:val="center"/>
            </w:pPr>
            <w:r>
              <w:rPr>
                <w:rFonts w:ascii="Arial" w:hAnsi="Arial"/>
                <w:b/>
                <w:color w:val="FFFFFF"/>
                <w:sz w:val="17"/>
              </w:rPr>
              <w:t>Mercado Objetivo</w:t>
            </w:r>
          </w:p>
        </w:tc>
      </w:tr>
      <w:tr>
        <w:tc>
          <w:tcPr>
            <w:tcW w:type="dxa" w:w="1872"/>
            <w:shd w:fill="FFFFFF"/>
            <w:tcMar>
              <w:top w:w="80" w:type="dxa"/>
              <w:bottom w:w="80" w:type="dxa"/>
              <w:left w:w="80" w:type="dxa"/>
              <w:right w:w="80" w:type="dxa"/>
            </w:tcMar>
          </w:tcPr>
          <w:p>
            <w:pPr>
              <w:jc w:val="left"/>
            </w:pPr>
            <w:r>
              <w:rPr>
                <w:rFonts w:ascii="Arial" w:hAnsi="Arial"/>
                <w:b/>
                <w:color w:val="1E293B"/>
                <w:sz w:val="17"/>
              </w:rPr>
              <w:t>iPWR / BWR (Agua Ligera)</w:t>
            </w:r>
          </w:p>
        </w:tc>
        <w:tc>
          <w:tcPr>
            <w:tcW w:type="dxa" w:w="1728"/>
            <w:shd w:fill="FFFFFF"/>
            <w:tcMar>
              <w:top w:w="80" w:type="dxa"/>
              <w:bottom w:w="80" w:type="dxa"/>
              <w:left w:w="80" w:type="dxa"/>
              <w:right w:w="80" w:type="dxa"/>
            </w:tcMar>
          </w:tcPr>
          <w:p>
            <w:pPr>
              <w:jc w:val="center"/>
            </w:pPr>
            <w:r>
              <w:rPr>
                <w:rFonts w:ascii="Arial" w:hAnsi="Arial"/>
                <w:color w:val="1E293B"/>
                <w:sz w:val="17"/>
              </w:rPr>
              <w:t>H₂O / H₂O (Uranio LEU &lt;5%)</w:t>
            </w:r>
          </w:p>
        </w:tc>
        <w:tc>
          <w:tcPr>
            <w:tcW w:type="dxa" w:w="1728"/>
            <w:shd w:fill="FFFFFF"/>
            <w:tcMar>
              <w:top w:w="80" w:type="dxa"/>
              <w:bottom w:w="80" w:type="dxa"/>
              <w:left w:w="80" w:type="dxa"/>
              <w:right w:w="80" w:type="dxa"/>
            </w:tcMar>
          </w:tcPr>
          <w:p>
            <w:pPr>
              <w:jc w:val="center"/>
            </w:pPr>
            <w:r>
              <w:rPr>
                <w:rFonts w:ascii="Arial" w:hAnsi="Arial"/>
                <w:color w:val="1E293B"/>
                <w:sz w:val="17"/>
              </w:rPr>
              <w:t>290 °C - 325 °C</w:t>
            </w:r>
          </w:p>
        </w:tc>
        <w:tc>
          <w:tcPr>
            <w:tcW w:type="dxa" w:w="1584"/>
            <w:shd w:fill="FFFFFF"/>
            <w:tcMar>
              <w:top w:w="80" w:type="dxa"/>
              <w:bottom w:w="80" w:type="dxa"/>
              <w:left w:w="80" w:type="dxa"/>
              <w:right w:w="80" w:type="dxa"/>
            </w:tcMar>
          </w:tcPr>
          <w:p>
            <w:pPr>
              <w:jc w:val="center"/>
            </w:pPr>
            <w:r>
              <w:rPr>
                <w:rFonts w:ascii="Arial" w:hAnsi="Arial"/>
                <w:color w:val="1E293B"/>
                <w:sz w:val="17"/>
              </w:rPr>
              <w:t>31% - 34%</w:t>
            </w:r>
          </w:p>
        </w:tc>
        <w:tc>
          <w:tcPr>
            <w:tcW w:type="dxa" w:w="2448"/>
            <w:shd w:fill="FFFFFF"/>
            <w:tcMar>
              <w:top w:w="80" w:type="dxa"/>
              <w:bottom w:w="80" w:type="dxa"/>
              <w:left w:w="80" w:type="dxa"/>
              <w:right w:w="80" w:type="dxa"/>
            </w:tcMar>
          </w:tcPr>
          <w:p>
            <w:pPr>
              <w:jc w:val="left"/>
            </w:pPr>
            <w:r>
              <w:rPr>
                <w:rFonts w:ascii="Arial" w:hAnsi="Arial"/>
                <w:color w:val="1E293B"/>
                <w:sz w:val="17"/>
              </w:rPr>
              <w:t>Generación eléctrica base, C2N, desalación</w:t>
            </w:r>
          </w:p>
        </w:tc>
      </w:tr>
      <w:tr>
        <w:tc>
          <w:tcPr>
            <w:tcW w:type="dxa" w:w="1872"/>
            <w:shd w:fill="F8FAFC"/>
            <w:tcMar>
              <w:top w:w="80" w:type="dxa"/>
              <w:bottom w:w="80" w:type="dxa"/>
              <w:left w:w="80" w:type="dxa"/>
              <w:right w:w="80" w:type="dxa"/>
            </w:tcMar>
          </w:tcPr>
          <w:p>
            <w:pPr>
              <w:jc w:val="left"/>
            </w:pPr>
            <w:r>
              <w:rPr>
                <w:rFonts w:ascii="Arial" w:hAnsi="Arial"/>
                <w:b/>
                <w:color w:val="1E293B"/>
                <w:sz w:val="17"/>
              </w:rPr>
              <w:t>HTGR (Gas Alta Temp.)</w:t>
            </w:r>
          </w:p>
        </w:tc>
        <w:tc>
          <w:tcPr>
            <w:tcW w:type="dxa" w:w="1728"/>
            <w:shd w:fill="F8FAFC"/>
            <w:tcMar>
              <w:top w:w="80" w:type="dxa"/>
              <w:bottom w:w="80" w:type="dxa"/>
              <w:left w:w="80" w:type="dxa"/>
              <w:right w:w="80" w:type="dxa"/>
            </w:tcMar>
          </w:tcPr>
          <w:p>
            <w:pPr>
              <w:jc w:val="center"/>
            </w:pPr>
            <w:r>
              <w:rPr>
                <w:rFonts w:ascii="Arial" w:hAnsi="Arial"/>
                <w:color w:val="1E293B"/>
                <w:sz w:val="17"/>
              </w:rPr>
              <w:t>Helio gas / Grafito (TRISO HALEU)</w:t>
            </w:r>
          </w:p>
        </w:tc>
        <w:tc>
          <w:tcPr>
            <w:tcW w:type="dxa" w:w="1728"/>
            <w:shd w:fill="F8FAFC"/>
            <w:tcMar>
              <w:top w:w="80" w:type="dxa"/>
              <w:bottom w:w="80" w:type="dxa"/>
              <w:left w:w="80" w:type="dxa"/>
              <w:right w:w="80" w:type="dxa"/>
            </w:tcMar>
          </w:tcPr>
          <w:p>
            <w:pPr>
              <w:jc w:val="center"/>
            </w:pPr>
            <w:r>
              <w:rPr>
                <w:rFonts w:ascii="Arial" w:hAnsi="Arial"/>
                <w:color w:val="1E293B"/>
                <w:sz w:val="17"/>
              </w:rPr>
              <w:t>565 °C - 750 °C</w:t>
            </w:r>
          </w:p>
        </w:tc>
        <w:tc>
          <w:tcPr>
            <w:tcW w:type="dxa" w:w="1584"/>
            <w:shd w:fill="F8FAFC"/>
            <w:tcMar>
              <w:top w:w="80" w:type="dxa"/>
              <w:bottom w:w="80" w:type="dxa"/>
              <w:left w:w="80" w:type="dxa"/>
              <w:right w:w="80" w:type="dxa"/>
            </w:tcMar>
          </w:tcPr>
          <w:p>
            <w:pPr>
              <w:jc w:val="center"/>
            </w:pPr>
            <w:r>
              <w:rPr>
                <w:rFonts w:ascii="Arial" w:hAnsi="Arial"/>
                <w:color w:val="1E293B"/>
                <w:sz w:val="17"/>
              </w:rPr>
              <w:t>40% - 48%</w:t>
            </w:r>
          </w:p>
        </w:tc>
        <w:tc>
          <w:tcPr>
            <w:tcW w:type="dxa" w:w="2448"/>
            <w:shd w:fill="F8FAFC"/>
            <w:tcMar>
              <w:top w:w="80" w:type="dxa"/>
              <w:bottom w:w="80" w:type="dxa"/>
              <w:left w:w="80" w:type="dxa"/>
              <w:right w:w="80" w:type="dxa"/>
            </w:tcMar>
          </w:tcPr>
          <w:p>
            <w:pPr>
              <w:jc w:val="left"/>
            </w:pPr>
            <w:r>
              <w:rPr>
                <w:rFonts w:ascii="Arial" w:hAnsi="Arial"/>
                <w:color w:val="1E293B"/>
                <w:sz w:val="17"/>
              </w:rPr>
              <w:t>Vapor industrial químico, siderurgia, H₂ SOEC</w:t>
            </w:r>
          </w:p>
        </w:tc>
      </w:tr>
      <w:tr>
        <w:tc>
          <w:tcPr>
            <w:tcW w:type="dxa" w:w="1872"/>
            <w:shd w:fill="FFFFFF"/>
            <w:tcMar>
              <w:top w:w="80" w:type="dxa"/>
              <w:bottom w:w="80" w:type="dxa"/>
              <w:left w:w="80" w:type="dxa"/>
              <w:right w:w="80" w:type="dxa"/>
            </w:tcMar>
          </w:tcPr>
          <w:p>
            <w:pPr>
              <w:jc w:val="left"/>
            </w:pPr>
            <w:r>
              <w:rPr>
                <w:rFonts w:ascii="Arial" w:hAnsi="Arial"/>
                <w:b/>
                <w:color w:val="1E293B"/>
                <w:sz w:val="17"/>
              </w:rPr>
              <w:t>FBR / LFR (Metales Líquidos)</w:t>
            </w:r>
          </w:p>
        </w:tc>
        <w:tc>
          <w:tcPr>
            <w:tcW w:type="dxa" w:w="1728"/>
            <w:shd w:fill="FFFFFF"/>
            <w:tcMar>
              <w:top w:w="80" w:type="dxa"/>
              <w:bottom w:w="80" w:type="dxa"/>
              <w:left w:w="80" w:type="dxa"/>
              <w:right w:w="80" w:type="dxa"/>
            </w:tcMar>
          </w:tcPr>
          <w:p>
            <w:pPr>
              <w:jc w:val="center"/>
            </w:pPr>
            <w:r>
              <w:rPr>
                <w:rFonts w:ascii="Arial" w:hAnsi="Arial"/>
                <w:color w:val="1E293B"/>
                <w:sz w:val="17"/>
              </w:rPr>
              <w:t>Sodio / Plomo (Fast Neutrons)</w:t>
            </w:r>
          </w:p>
        </w:tc>
        <w:tc>
          <w:tcPr>
            <w:tcW w:type="dxa" w:w="1728"/>
            <w:shd w:fill="FFFFFF"/>
            <w:tcMar>
              <w:top w:w="80" w:type="dxa"/>
              <w:bottom w:w="80" w:type="dxa"/>
              <w:left w:w="80" w:type="dxa"/>
              <w:right w:w="80" w:type="dxa"/>
            </w:tcMar>
          </w:tcPr>
          <w:p>
            <w:pPr>
              <w:jc w:val="center"/>
            </w:pPr>
            <w:r>
              <w:rPr>
                <w:rFonts w:ascii="Arial" w:hAnsi="Arial"/>
                <w:color w:val="1E293B"/>
                <w:sz w:val="17"/>
              </w:rPr>
              <w:t>500 °C - 550 °C</w:t>
            </w:r>
          </w:p>
        </w:tc>
        <w:tc>
          <w:tcPr>
            <w:tcW w:type="dxa" w:w="1584"/>
            <w:shd w:fill="FFFFFF"/>
            <w:tcMar>
              <w:top w:w="80" w:type="dxa"/>
              <w:bottom w:w="80" w:type="dxa"/>
              <w:left w:w="80" w:type="dxa"/>
              <w:right w:w="80" w:type="dxa"/>
            </w:tcMar>
          </w:tcPr>
          <w:p>
            <w:pPr>
              <w:jc w:val="center"/>
            </w:pPr>
            <w:r>
              <w:rPr>
                <w:rFonts w:ascii="Arial" w:hAnsi="Arial"/>
                <w:color w:val="1E293B"/>
                <w:sz w:val="17"/>
              </w:rPr>
              <w:t>38% - 42%</w:t>
            </w:r>
          </w:p>
        </w:tc>
        <w:tc>
          <w:tcPr>
            <w:tcW w:type="dxa" w:w="2448"/>
            <w:shd w:fill="FFFFFF"/>
            <w:tcMar>
              <w:top w:w="80" w:type="dxa"/>
              <w:bottom w:w="80" w:type="dxa"/>
              <w:left w:w="80" w:type="dxa"/>
              <w:right w:w="80" w:type="dxa"/>
            </w:tcMar>
          </w:tcPr>
          <w:p>
            <w:pPr>
              <w:jc w:val="left"/>
            </w:pPr>
            <w:r>
              <w:rPr>
                <w:rFonts w:ascii="Arial" w:hAnsi="Arial"/>
                <w:color w:val="1E293B"/>
                <w:sz w:val="17"/>
              </w:rPr>
              <w:t>Transmutación de residuos, cierre del ciclo</w:t>
            </w:r>
          </w:p>
        </w:tc>
      </w:tr>
      <w:tr>
        <w:tc>
          <w:tcPr>
            <w:tcW w:type="dxa" w:w="1872"/>
            <w:shd w:fill="F8FAFC"/>
            <w:tcMar>
              <w:top w:w="80" w:type="dxa"/>
              <w:bottom w:w="80" w:type="dxa"/>
              <w:left w:w="80" w:type="dxa"/>
              <w:right w:w="80" w:type="dxa"/>
            </w:tcMar>
          </w:tcPr>
          <w:p>
            <w:pPr>
              <w:jc w:val="left"/>
            </w:pPr>
            <w:r>
              <w:rPr>
                <w:rFonts w:ascii="Arial" w:hAnsi="Arial"/>
                <w:b/>
                <w:color w:val="1E293B"/>
                <w:sz w:val="17"/>
              </w:rPr>
              <w:t>MSR (Sales Fundidas)</w:t>
            </w:r>
          </w:p>
        </w:tc>
        <w:tc>
          <w:tcPr>
            <w:tcW w:type="dxa" w:w="1728"/>
            <w:shd w:fill="F8FAFC"/>
            <w:tcMar>
              <w:top w:w="80" w:type="dxa"/>
              <w:bottom w:w="80" w:type="dxa"/>
              <w:left w:w="80" w:type="dxa"/>
              <w:right w:w="80" w:type="dxa"/>
            </w:tcMar>
          </w:tcPr>
          <w:p>
            <w:pPr>
              <w:jc w:val="center"/>
            </w:pPr>
            <w:r>
              <w:rPr>
                <w:rFonts w:ascii="Arial" w:hAnsi="Arial"/>
                <w:color w:val="1E293B"/>
                <w:sz w:val="17"/>
              </w:rPr>
              <w:t>Sales fluoruro/cloruro eutécticas</w:t>
            </w:r>
          </w:p>
        </w:tc>
        <w:tc>
          <w:tcPr>
            <w:tcW w:type="dxa" w:w="1728"/>
            <w:shd w:fill="F8FAFC"/>
            <w:tcMar>
              <w:top w:w="80" w:type="dxa"/>
              <w:bottom w:w="80" w:type="dxa"/>
              <w:left w:w="80" w:type="dxa"/>
              <w:right w:w="80" w:type="dxa"/>
            </w:tcMar>
          </w:tcPr>
          <w:p>
            <w:pPr>
              <w:jc w:val="center"/>
            </w:pPr>
            <w:r>
              <w:rPr>
                <w:rFonts w:ascii="Arial" w:hAnsi="Arial"/>
                <w:color w:val="1E293B"/>
                <w:sz w:val="17"/>
              </w:rPr>
              <w:t>600 °C - 700 °C</w:t>
            </w:r>
          </w:p>
        </w:tc>
        <w:tc>
          <w:tcPr>
            <w:tcW w:type="dxa" w:w="1584"/>
            <w:shd w:fill="F8FAFC"/>
            <w:tcMar>
              <w:top w:w="80" w:type="dxa"/>
              <w:bottom w:w="80" w:type="dxa"/>
              <w:left w:w="80" w:type="dxa"/>
              <w:right w:w="80" w:type="dxa"/>
            </w:tcMar>
          </w:tcPr>
          <w:p>
            <w:pPr>
              <w:jc w:val="center"/>
            </w:pPr>
            <w:r>
              <w:rPr>
                <w:rFonts w:ascii="Arial" w:hAnsi="Arial"/>
                <w:color w:val="1E293B"/>
                <w:sz w:val="17"/>
              </w:rPr>
              <w:t>42% - 46%</w:t>
            </w:r>
          </w:p>
        </w:tc>
        <w:tc>
          <w:tcPr>
            <w:tcW w:type="dxa" w:w="2448"/>
            <w:shd w:fill="F8FAFC"/>
            <w:tcMar>
              <w:top w:w="80" w:type="dxa"/>
              <w:bottom w:w="80" w:type="dxa"/>
              <w:left w:w="80" w:type="dxa"/>
              <w:right w:w="80" w:type="dxa"/>
            </w:tcMar>
          </w:tcPr>
          <w:p>
            <w:pPr>
              <w:jc w:val="left"/>
            </w:pPr>
            <w:r>
              <w:rPr>
                <w:rFonts w:ascii="Arial" w:hAnsi="Arial"/>
                <w:color w:val="1E293B"/>
                <w:sz w:val="17"/>
              </w:rPr>
              <w:t>Almacenamiento térmico, alta seguridad pasiva</w:t>
            </w:r>
          </w:p>
        </w:tc>
      </w:tr>
    </w:tbl>
    <w:p>
      <w:pPr>
        <w:spacing w:before="80" w:after="240"/>
      </w:pPr>
      <w:r>
        <w:rPr>
          <w:rFonts w:ascii="Arial" w:hAnsi="Arial"/>
          <w:i/>
          <w:color w:val="64748B"/>
          <w:sz w:val="16"/>
        </w:rPr>
        <w:t>Tabla 1: Comparativa tecnológica y parámetros operativos de las principales familias de SMRs. Fuente: Elaboración propia a partir de datos del OIEA (IAEA-ARIS, 2024).</w:t>
      </w:r>
    </w:p>
    <w:p>
      <w:r>
        <w:br w:type="page"/>
      </w:r>
    </w:p>
    <w:p>
      <w:pPr>
        <w:keepNext/>
        <w:spacing w:before="360" w:after="120"/>
      </w:pPr>
      <w:r>
        <w:rPr>
          <w:rFonts w:ascii="Arial" w:hAnsi="Arial"/>
          <w:b/>
          <w:color w:val="0F2C59"/>
          <w:sz w:val="28"/>
        </w:rPr>
        <w:t>2. Integración en el Mercado Energético Mayorista y Prestación de Servicios de Red</w:t>
      </w:r>
    </w:p>
    <w:p>
      <w:pPr>
        <w:spacing w:before="0" w:after="120" w:line="276" w:lineRule="auto"/>
      </w:pPr>
      <w:r>
        <w:rPr>
          <w:rFonts w:ascii="Arial" w:hAnsi="Arial"/>
          <w:color w:val="1E293B"/>
          <w:sz w:val="20"/>
        </w:rPr>
        <w:t>El análisis microeconómico de la integración de centrales de generación eléctrica en Europa se fundamenta en el mecanismo del mercado marginalista diario (operado por OMIE en la Península Ibérica y EPEX SPOT en el centro de Europa), donde la casación se rige por el orden de mérito de costes variables de operación (Short-Run Marginal Cost - SRMC).</w:t>
      </w:r>
    </w:p>
    <w:p>
      <w:pPr>
        <w:keepNext/>
        <w:spacing w:before="280" w:after="80"/>
      </w:pPr>
      <w:r>
        <w:rPr>
          <w:rFonts w:ascii="Arial" w:hAnsi="Arial"/>
          <w:b/>
          <w:color w:val="1E3A8A"/>
          <w:sz w:val="24"/>
        </w:rPr>
        <w:t>2.1. Casación Marginalista, Rentas Inframarginales y Riesgo de Canibalización</w:t>
      </w:r>
    </w:p>
    <w:p>
      <w:pPr>
        <w:spacing w:before="0" w:after="120" w:line="276" w:lineRule="auto"/>
      </w:pPr>
      <w:r>
        <w:rPr>
          <w:rFonts w:ascii="Arial" w:hAnsi="Arial"/>
          <w:color w:val="1E293B"/>
          <w:sz w:val="20"/>
        </w:rPr>
        <w:t>Los SMRs presentan un coste variable de operación sumamente reducido, compuesto por el coste del combustible nuclear (6-9 €/MWh) y los costes variables de O&amp;M (2-4 €/MWh), situando su SRMC en el intervalo de 8 a 13 €/MWh. Este perfil de costes los posiciona en la base de la curva de oferta, justo por encima de las energías renovables no gestionables (eólica y fotovoltaica, cuyo coste variable es nulo).</w:t>
        <w:br/>
        <w:br/>
        <w:t>Cuando el precio marginal del mercado es fijado por ciclos combinados de gas natural (CCGT) sujetos a precios internacionales del gas TTF (25-40 €/MWh_t) y derechos de emisión de carbono del EU ETS (70-95 €/t CO₂), el precio de casación resultante oscila entre 80 y 110 €/MWh. En estas horas térmicas, el SMR captura una renta inframarginal sustancial (65-95 €/MWh neto), que permite una rápida amortización de la inversión de capital inicial (CAPEX).</w:t>
        <w:br/>
        <w:br/>
        <w:t>Sin embargo, el despliegue a gran escala de renovables produce durante las horas centrales diurnas de primavera y verano el denominado 'efecto canibalización', provocando que el precio marginal caiga a 0 €/MWh o alcance cotas negativas. Para una central nuclear tradicional inflexible obligada a operar como carga base fija (must-run), esta situación erosiona los flujos de caja y puede generar pérdidas operativas directas.</w:t>
      </w:r>
    </w:p>
    <w:p>
      <w:pPr>
        <w:keepNext/>
        <w:spacing w:before="280" w:after="80"/>
      </w:pPr>
      <w:r>
        <w:rPr>
          <w:rFonts w:ascii="Arial" w:hAnsi="Arial"/>
          <w:b/>
          <w:color w:val="1E3A8A"/>
          <w:sz w:val="24"/>
        </w:rPr>
        <w:t>2.2. Capacidad de Seguimiento de Carga (Load-Following) y Flexibilidad Térmica</w:t>
      </w:r>
    </w:p>
    <w:p>
      <w:pPr>
        <w:spacing w:before="0" w:after="120" w:line="276" w:lineRule="auto"/>
      </w:pPr>
      <w:r>
        <w:rPr>
          <w:rFonts w:ascii="Arial" w:hAnsi="Arial"/>
          <w:color w:val="1E293B"/>
          <w:sz w:val="20"/>
        </w:rPr>
        <w:t>Para eludir la trampa de los precios cero, los diseños modernos de SMR de agua ligera incorporan por especificación de diseño la capacidad de modular su potencia activa de forma ágil:</w:t>
        <w:br/>
        <w:t>• Modulación de potencia a rampas de hasta el 5% de la potencia nominal por minuto (5% Pn/min) entre el 25% y el 100% de carga.</w:t>
        <w:br/>
        <w:t>• Ajuste mediante barras de control de gris (control rods) y modulación de caudal en el lazo primario sin alterar bruscamente la concentración química de boro ni inducir oscilaciones inestables de xenón-135.</w:t>
        <w:br/>
        <w:t>• Derivación de vapor (Steam Bypass): En lugar de estrangular el reactor nuclear térmicamente, el exceso de vapor de alta presión puede ser derivado directamente desde el generador de vapor hacia acumuladores de calor de sales fundidas (como en el reactor Natrium de TerraPower / GE Hitachi) o hacia plantas contiguas de electrólisis de alta temperatura y desalación.</w:t>
      </w:r>
    </w:p>
    <w:p>
      <w:pPr>
        <w:keepNext/>
        <w:spacing w:before="280" w:after="80"/>
      </w:pPr>
      <w:r>
        <w:rPr>
          <w:rFonts w:ascii="Arial" w:hAnsi="Arial"/>
          <w:b/>
          <w:color w:val="1E3A8A"/>
          <w:sz w:val="24"/>
        </w:rPr>
        <w:t>2.3. Estabilidad Sistémica: Inercia Física Síncrona y Mitigación del RoCoF</w:t>
      </w:r>
    </w:p>
    <w:p>
      <w:pPr>
        <w:spacing w:before="0" w:after="120" w:line="276" w:lineRule="auto"/>
      </w:pPr>
      <w:r>
        <w:rPr>
          <w:rFonts w:ascii="Arial" w:hAnsi="Arial"/>
          <w:color w:val="1E293B"/>
          <w:sz w:val="20"/>
        </w:rPr>
        <w:t>A medida que se clausuran las centrales térmicas de carbón y turbinas de fueloil en el continente europeo, la red interconectada de ENTSO-E pierde masa rotatoria síncrona, sustituida por inversores de electrónica de potencia estática. Ante contingencias (el disparo fortuito de un reactor de 1.600 MWe o una interconexión transfronteriza), la tasa de variación de frecuencia (RoCoF = df/dt) se dispara inversamente a la inercia total del sistema (H_sys):</w:t>
        <w:br/>
        <w:br/>
        <w:t xml:space="preserve">         df/dt = (f_0 · ΔP) / (2 · H_sys · S_base)</w:t>
        <w:br/>
        <w:br/>
        <w:t>Si el RoCoF supera los umbrales críticos de seguridad (1.0 - 2.0 Hz/s), los relés de deslastre automático de cargas por subfrecuencia provocan desconexiones masivas de clientes para evitar el apagón total (blackout). Los SMRs aportan una masa rotatoria pesada acoplada a la frecuencia síncrona de 50 Hz con constantes de inercia H individuales de 4.0 a 6.0 segundos. Proporcionan, asimismo, Reserva de Contención de Frecuencia (FCR), Reserva de Restauración Automática (aFRR) y control dinámico de tensión mediante inyección/absorción de potencia reactiva (MVAR), servicios retribuidos en los mercados de ajuste que no pueden ser cubiertos por baterías convencionales sin incurrir en elevados costes de ciclo.</w:t>
      </w:r>
    </w:p>
    <w:p>
      <w:r>
        <w:br w:type="page"/>
      </w:r>
    </w:p>
    <w:p>
      <w:pPr>
        <w:keepNext/>
        <w:spacing w:before="360" w:after="120"/>
      </w:pPr>
      <w:r>
        <w:rPr>
          <w:rFonts w:ascii="Arial" w:hAnsi="Arial"/>
          <w:b/>
          <w:color w:val="0F2C59"/>
          <w:sz w:val="28"/>
        </w:rPr>
        <w:t>3. Acoplamiento de Sectores (Sector Coupling) y Descarbonización Térmica</w:t>
      </w:r>
    </w:p>
    <w:p>
      <w:pPr>
        <w:spacing w:before="0" w:after="120" w:line="276" w:lineRule="auto"/>
      </w:pPr>
      <w:r>
        <w:rPr>
          <w:rFonts w:ascii="Arial" w:hAnsi="Arial"/>
          <w:color w:val="1E293B"/>
          <w:sz w:val="20"/>
        </w:rPr>
        <w:t>En la Unión Europea, el sector térmico representa más del 50% del total de la energía final consumida, frente al 24% atribuible al sector eléctrico. Más del 70% del calor industrial y de calefacción de edificios proviene actualmente de combustibles fósiles (gas natural, derivados petrolíferos y carbón). La electrificación directa mediante bombas de calor es viable para temperaturas inferiores a 100 °C, pero resulta tecnológicamente inviable o ineficiente para el vapor saturado y sobrecalentado que exige la industria pesada.</w:t>
      </w:r>
    </w:p>
    <w:p>
      <w:pPr>
        <w:keepNext/>
        <w:spacing w:before="280" w:after="80"/>
      </w:pPr>
      <w:r>
        <w:rPr>
          <w:rFonts w:ascii="Arial" w:hAnsi="Arial"/>
          <w:b/>
          <w:color w:val="1E3A8A"/>
          <w:sz w:val="24"/>
        </w:rPr>
        <w:t>3.1. Suministro Directo de Vapor a la Industria Química, Papelera y Siderúrgica</w:t>
      </w:r>
    </w:p>
    <w:p>
      <w:pPr>
        <w:spacing w:before="0" w:after="120" w:line="276" w:lineRule="auto"/>
      </w:pPr>
      <w:r>
        <w:rPr>
          <w:rFonts w:ascii="Arial" w:hAnsi="Arial"/>
          <w:color w:val="1E293B"/>
          <w:sz w:val="20"/>
        </w:rPr>
        <w:t>Los SMRs permiten romper la barrera eléctrica y configurarse como plantas cogeneradoras de calor y electricidad (CHP):</w:t>
        <w:br/>
        <w:t>• En Polonia, el grupo químico Synthos (a través del consorcio OSGE) instalará unidades BWRX-300 para suministrar calor y vapor ininterrumpido a sus complejos petroquímicos de Oświęcim y Włocławek, sustituyendo calderas de hulla y blindando sus costes frente a las cotizaciones del régimen EU ETS.</w:t>
        <w:br/>
        <w:t>• En Estados Unidos, Dow Chemical y X-energy están construyendo un emplazamiento con cuatro reactores Xe-100 (HTGR) en Seadrift (Texas) para suministrar vapor de alta temperatura (565 °C) y electricidad limpia y sin emisiones a una de las mayores plantas químicas de Norteamérica.</w:t>
        <w:br/>
        <w:t>• En Francia, startups del ecosistema nuclear como Jimmy Energy desarrollan microrreactores térmicos de 20 MWt dedicados en exclusiva al suministro de calor industrial para plantas de alimentación y celulosa, operando bajo contratos de 'Heat-as-a-Service'.</w:t>
      </w:r>
    </w:p>
    <w:p>
      <w:pPr>
        <w:keepNext/>
        <w:spacing w:before="280" w:after="80"/>
      </w:pPr>
      <w:r>
        <w:rPr>
          <w:rFonts w:ascii="Arial" w:hAnsi="Arial"/>
          <w:b/>
          <w:color w:val="1E3A8A"/>
          <w:sz w:val="24"/>
        </w:rPr>
        <w:t>3.2. Redes Urbanas de Calefacción Distrital (District Heating)</w:t>
      </w:r>
    </w:p>
    <w:p>
      <w:pPr>
        <w:spacing w:before="0" w:after="120" w:line="276" w:lineRule="auto"/>
      </w:pPr>
      <w:r>
        <w:rPr>
          <w:rFonts w:ascii="Arial" w:hAnsi="Arial"/>
          <w:color w:val="1E293B"/>
          <w:sz w:val="20"/>
        </w:rPr>
        <w:t>En los países nórdicos y de Europa Central, la descarbonización de las redes de calefacción urbana tropieza con la escasez de biomasa sostenible y el elevado coste del gas natural. El reactor finlandés Steady Energy LDR-50 (50 MWt), diseñado por el centro de investigación estatal VTT, opera a baja temperatura (150 °C) y presión reducida (&lt;10 bar). Esta característica permite ubicar el reactor en cavernas subterráneas protegidas a escasa distancia de las ciudades (Helsinki, Espoo, Kuopio), alcanzando un Coste Nivelado del Calor (LCOH) de 30-35 €/MWh térmico, plenamente competitivo con cualquier alternativa fósil.</w:t>
      </w:r>
    </w:p>
    <w:p>
      <w:pPr>
        <w:keepNext/>
        <w:spacing w:before="280" w:after="80"/>
      </w:pPr>
      <w:r>
        <w:rPr>
          <w:rFonts w:ascii="Arial" w:hAnsi="Arial"/>
          <w:b/>
          <w:color w:val="1E3A8A"/>
          <w:sz w:val="24"/>
        </w:rPr>
        <w:t>3.3. Producción de Hidrógeno Limpio de Alta Eficiencia (SOEC y Ciclos Termoquímicos)</w:t>
      </w:r>
    </w:p>
    <w:p>
      <w:pPr>
        <w:spacing w:before="0" w:after="120" w:line="276" w:lineRule="auto"/>
      </w:pPr>
      <w:r>
        <w:rPr>
          <w:rFonts w:ascii="Arial" w:hAnsi="Arial"/>
          <w:color w:val="1E293B"/>
          <w:sz w:val="20"/>
        </w:rPr>
        <w:t>La producción de hidrógeno renovable mediante electrólisis a baja temperatura (electrolizadores PEM o alcalinos) presenta una eficiencia global del 60-65% y consume entre 50 y 55 kWh por kilogramo de H₂. Al acoplar reactores SMR de alta temperatura:</w:t>
        <w:br/>
        <w:t>1. Con celdas de electrólisis de vapor de óxido sólido (SOEC): Parte de la energía de disociación molecular del agua se suministra directamente en forma de calor latente de vapor (&gt;650 °C), reduciendo la demanda específica de energía eléctrica a menos de 40 kWh/kg H₂ y elevando la eficiencia termodinámica global del sistema por encima del 85%.</w:t>
        <w:br/>
        <w:t>2. Mediante ciclos termoquímicos directos a ultra-alta temperatura (Ciclo Yodo-Azufre I-S): En Japón, el centro tecnológico de Oarai (JAEA / Mitsubishi Heavy Industries, en el área metropolitana de Tokio) opera el reactor nuclear experimental HTTR a 950 °C (récord mundial de temperatura operativa). Esta instalación descompone directamente agua en hidrógeno verde y oxígeno mediante reacciones químicas endotérmicas en circuito cerrado a 950 °C sin necesidad de electrolizadores convencionales ni consumo de electricidad externa, alcanzando una eficiencia superior al 50%. Este vector de hidrógeno verde está destinado a descarbonizar la siderurgia pesada japonesa (Nippon Steel) y la industria química de la región de Kanto y Tokio.</w:t>
        <w:br/>
        <w:t>3. Al operar con un factor de utilización superior a 8.000 horas anuales (frente a las 2.000-3.500 horas de plantas fotovoltaicas/eólicas), el coste nivelado del hidrógeno limpio (LCOH2) desciende por debajo de 3,0 €/kg H₂, umbral plenamente competitivo con el reformado de gas con captura de carbono.</w:t>
      </w:r>
    </w:p>
    <w:p>
      <w:pPr>
        <w:keepNext/>
        <w:spacing w:before="280" w:after="80"/>
      </w:pPr>
      <w:r>
        <w:rPr>
          <w:rFonts w:ascii="Arial" w:hAnsi="Arial"/>
          <w:b/>
          <w:color w:val="1E3A8A"/>
          <w:sz w:val="24"/>
        </w:rPr>
        <w:t>3.4. Centrales Nucleares Flotantes sobre Buques y Barcazas (FNPP): El Modelo Ruso</w:t>
      </w:r>
    </w:p>
    <w:p>
      <w:pPr>
        <w:spacing w:before="0" w:after="120" w:line="276" w:lineRule="auto"/>
      </w:pPr>
      <w:r>
        <w:rPr>
          <w:rFonts w:ascii="Arial" w:hAnsi="Arial"/>
          <w:color w:val="1E293B"/>
          <w:sz w:val="20"/>
        </w:rPr>
        <w:t>Una variante singular y pionera de la ingeniería de SMRs son las centrales nucleares flotantes instaladas sobre buques o barcazas (Floating Nuclear Power Plants - FNPP). En este esquema, los reactores SMR y todo el balance de planta se instalan íntegramente dentro de un casco naval en un astillero naval especializado, remolcándose posteriormente por vía marítima hasta su punto de amarre definitivo:</w:t>
        <w:br/>
        <w:t>• En Rusia, la corporación estatal Rosatom mantiene en operación comercial desde mayo de 2020 la primera central nuclear flotante del mundo, el buque-barcaza 'Akademik Lomonosov' (144 m de eslora, 30 m de manga y 21.500 t de desplazamiento), equipado con dos reactores SMR tipo KLT-40S (70 MWe y 300 MWt combinados) atracado en Pevek (Distrito Autónomo de Chukotka), suministrando electricidad firme y calefacción distrital continua a -50 °C en la cuenca ártica sin cimentación terrestre.</w:t>
        <w:br/>
        <w:t>• Asimismo, se encuentran actualmente en construcción activa en el astillero naval Baltiysky Zavod (San Petersburgo) cuatro nuevas unidades flotantes modernizadas (OFPU / FPU) equipadas con reactores SMR de nueva generación RITM-200S (106 MWe por buque, 424 MWe en total). Estos buques se fondearán en Cabo Nagloynyn (Bahía de Chaunskaya) para electrificar el megacomplejo minero de Baimsky GOK a partir de 2027, eludiendo la necesidad de construir cimentaciones terrestres en terrenos de permafrost inestable y permitiendo remolcar periódicamente los buques a astilleros navales para sus paradas mayores de mantenimiento y recarga decenal.</w:t>
      </w:r>
    </w:p>
    <w:p>
      <w:r>
        <w:br w:type="page"/>
      </w:r>
    </w:p>
    <w:p>
      <w:pPr>
        <w:keepNext/>
        <w:spacing w:before="360" w:after="120"/>
      </w:pPr>
      <w:r>
        <w:rPr>
          <w:rFonts w:ascii="Arial" w:hAnsi="Arial"/>
          <w:b/>
          <w:color w:val="0F2C59"/>
          <w:sz w:val="28"/>
        </w:rPr>
        <w:t>4. Análisis Económico: Estructura de Costes (CBS), Curva de Aprendizaje y LCOE</w:t>
      </w:r>
    </w:p>
    <w:p>
      <w:pPr>
        <w:spacing w:before="0" w:after="120" w:line="276" w:lineRule="auto"/>
      </w:pPr>
      <w:r>
        <w:rPr>
          <w:rFonts w:ascii="Arial" w:hAnsi="Arial"/>
          <w:color w:val="1E293B"/>
          <w:sz w:val="20"/>
        </w:rPr>
        <w:t>El análisis riguroso de la rentabilidad de un proyecto de ingeniería nuclear exige descomponer la inversión de capital total (Total Capital Investment - TCI) según la estructura de desglose de costes estandarizada por la Agencia de Energía Nuclear de la OCDE (OECD-NEA) y el Instituto de Investigación de Energía Eléctrica (EPRI).</w:t>
      </w:r>
    </w:p>
    <w:p>
      <w:pPr>
        <w:keepNext/>
        <w:spacing w:before="280" w:after="80"/>
      </w:pPr>
      <w:r>
        <w:rPr>
          <w:rFonts w:ascii="Arial" w:hAnsi="Arial"/>
          <w:b/>
          <w:color w:val="1E3A8A"/>
          <w:sz w:val="24"/>
        </w:rPr>
        <w:t>4.1. Estructura de Desglose de Costes de Capital (Cost Breakdown Structure - CBS)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3600"/>
            <w:shd w:fill="0F2C59"/>
            <w:tcMar>
              <w:top w:w="100" w:type="dxa"/>
              <w:bottom w:w="100" w:type="dxa"/>
              <w:left w:w="80" w:type="dxa"/>
              <w:right w:w="80" w:type="dxa"/>
            </w:tcMar>
          </w:tcPr>
          <w:p>
            <w:pPr>
              <w:jc w:val="left"/>
            </w:pPr>
            <w:r>
              <w:rPr>
                <w:rFonts w:ascii="Arial" w:hAnsi="Arial"/>
                <w:b/>
                <w:color w:val="FFFFFF"/>
                <w:sz w:val="17"/>
              </w:rPr>
              <w:t>Partida Presupuestaria de Inversión</w:t>
            </w:r>
          </w:p>
        </w:tc>
        <w:tc>
          <w:tcPr>
            <w:tcW w:type="dxa" w:w="2592"/>
            <w:shd w:fill="0F2C59"/>
            <w:tcMar>
              <w:top w:w="100" w:type="dxa"/>
              <w:bottom w:w="100" w:type="dxa"/>
              <w:left w:w="80" w:type="dxa"/>
              <w:right w:w="80" w:type="dxa"/>
            </w:tcMar>
          </w:tcPr>
          <w:p>
            <w:pPr>
              <w:jc w:val="left"/>
            </w:pPr>
            <w:r>
              <w:rPr>
                <w:rFonts w:ascii="Arial" w:hAnsi="Arial"/>
                <w:b/>
                <w:color w:val="FFFFFF"/>
                <w:sz w:val="17"/>
              </w:rPr>
              <w:t>Criterio Técnico-Metodológico</w:t>
            </w:r>
          </w:p>
        </w:tc>
        <w:tc>
          <w:tcPr>
            <w:tcW w:type="dxa" w:w="1584"/>
            <w:shd w:fill="0F2C59"/>
            <w:tcMar>
              <w:top w:w="100" w:type="dxa"/>
              <w:bottom w:w="100" w:type="dxa"/>
              <w:left w:w="80" w:type="dxa"/>
              <w:right w:w="80" w:type="dxa"/>
            </w:tcMar>
          </w:tcPr>
          <w:p>
            <w:pPr>
              <w:jc w:val="right"/>
            </w:pPr>
            <w:r>
              <w:rPr>
                <w:rFonts w:ascii="Arial" w:hAnsi="Arial"/>
                <w:b/>
                <w:color w:val="FFFFFF"/>
                <w:sz w:val="17"/>
              </w:rPr>
              <w:t>Coste (€M)</w:t>
            </w:r>
          </w:p>
        </w:tc>
        <w:tc>
          <w:tcPr>
            <w:tcW w:type="dxa" w:w="1584"/>
            <w:shd w:fill="0F2C59"/>
            <w:tcMar>
              <w:top w:w="100" w:type="dxa"/>
              <w:bottom w:w="100" w:type="dxa"/>
              <w:left w:w="80" w:type="dxa"/>
              <w:right w:w="80" w:type="dxa"/>
            </w:tcMar>
          </w:tcPr>
          <w:p>
            <w:pPr>
              <w:jc w:val="right"/>
            </w:pPr>
            <w:r>
              <w:rPr>
                <w:rFonts w:ascii="Arial" w:hAnsi="Arial"/>
                <w:b/>
                <w:color w:val="FFFFFF"/>
                <w:sz w:val="17"/>
              </w:rPr>
              <w:t>% s/ TCI</w:t>
            </w:r>
          </w:p>
        </w:tc>
      </w:tr>
      <w:tr>
        <w:tc>
          <w:tcPr>
            <w:tcW w:type="dxa" w:w="3600"/>
            <w:shd w:fill="FFFFFF"/>
            <w:tcMar>
              <w:top w:w="80" w:type="dxa"/>
              <w:bottom w:w="80" w:type="dxa"/>
              <w:left w:w="80" w:type="dxa"/>
              <w:right w:w="80" w:type="dxa"/>
            </w:tcMar>
          </w:tcPr>
          <w:p>
            <w:pPr>
              <w:jc w:val="left"/>
            </w:pPr>
            <w:r>
              <w:rPr>
                <w:rFonts w:ascii="Arial" w:hAnsi="Arial"/>
                <w:b/>
                <w:color w:val="1E293B"/>
                <w:sz w:val="17"/>
              </w:rPr>
              <w:t>1. Costes Directos Llave en Mano (OCC)</w:t>
            </w:r>
          </w:p>
        </w:tc>
        <w:tc>
          <w:tcPr>
            <w:tcW w:type="dxa" w:w="2592"/>
            <w:shd w:fill="FFFFFF"/>
            <w:tcMar>
              <w:top w:w="80" w:type="dxa"/>
              <w:bottom w:w="80" w:type="dxa"/>
              <w:left w:w="80" w:type="dxa"/>
              <w:right w:w="80" w:type="dxa"/>
            </w:tcMar>
          </w:tcPr>
          <w:p>
            <w:pPr>
              <w:jc w:val="left"/>
            </w:pPr>
            <w:r>
              <w:rPr>
                <w:rFonts w:ascii="Arial" w:hAnsi="Arial"/>
                <w:color w:val="1E293B"/>
                <w:sz w:val="17"/>
              </w:rPr>
              <w:t>Vasija, NSSS, turbina, alternador y obra civil compacta</w:t>
            </w:r>
          </w:p>
        </w:tc>
        <w:tc>
          <w:tcPr>
            <w:tcW w:type="dxa" w:w="1584"/>
            <w:shd w:fill="FFFFFF"/>
            <w:tcMar>
              <w:top w:w="80" w:type="dxa"/>
              <w:bottom w:w="80" w:type="dxa"/>
              <w:left w:w="80" w:type="dxa"/>
              <w:right w:w="80" w:type="dxa"/>
            </w:tcMar>
          </w:tcPr>
          <w:p>
            <w:pPr>
              <w:jc w:val="right"/>
            </w:pPr>
            <w:r>
              <w:rPr>
                <w:rFonts w:ascii="Arial" w:hAnsi="Arial"/>
                <w:color w:val="1E293B"/>
                <w:sz w:val="17"/>
              </w:rPr>
              <w:t>1.260 M€</w:t>
            </w:r>
          </w:p>
        </w:tc>
        <w:tc>
          <w:tcPr>
            <w:tcW w:type="dxa" w:w="1584"/>
            <w:shd w:fill="FFFFFF"/>
            <w:tcMar>
              <w:top w:w="80" w:type="dxa"/>
              <w:bottom w:w="80" w:type="dxa"/>
              <w:left w:w="80" w:type="dxa"/>
              <w:right w:w="80" w:type="dxa"/>
            </w:tcMar>
          </w:tcPr>
          <w:p>
            <w:pPr>
              <w:jc w:val="right"/>
            </w:pPr>
            <w:r>
              <w:rPr>
                <w:rFonts w:ascii="Arial" w:hAnsi="Arial"/>
                <w:color w:val="1E293B"/>
                <w:sz w:val="17"/>
              </w:rPr>
              <w:t>64,6%</w:t>
            </w:r>
          </w:p>
        </w:tc>
      </w:tr>
      <w:tr>
        <w:tc>
          <w:tcPr>
            <w:tcW w:type="dxa" w:w="3600"/>
            <w:shd w:fill="F8FAFC"/>
            <w:tcMar>
              <w:top w:w="80" w:type="dxa"/>
              <w:bottom w:w="80" w:type="dxa"/>
              <w:left w:w="80" w:type="dxa"/>
              <w:right w:w="80" w:type="dxa"/>
            </w:tcMar>
          </w:tcPr>
          <w:p>
            <w:pPr>
              <w:jc w:val="left"/>
            </w:pPr>
            <w:r>
              <w:rPr>
                <w:rFonts w:ascii="Arial" w:hAnsi="Arial"/>
                <w:b/>
                <w:color w:val="1E293B"/>
                <w:sz w:val="17"/>
              </w:rPr>
              <w:t>2. Costes Indirectos EPC &amp; Propietario</w:t>
            </w:r>
          </w:p>
        </w:tc>
        <w:tc>
          <w:tcPr>
            <w:tcW w:type="dxa" w:w="2592"/>
            <w:shd w:fill="F8FAFC"/>
            <w:tcMar>
              <w:top w:w="80" w:type="dxa"/>
              <w:bottom w:w="80" w:type="dxa"/>
              <w:left w:w="80" w:type="dxa"/>
              <w:right w:w="80" w:type="dxa"/>
            </w:tcMar>
          </w:tcPr>
          <w:p>
            <w:pPr>
              <w:jc w:val="left"/>
            </w:pPr>
            <w:r>
              <w:rPr>
                <w:rFonts w:ascii="Arial" w:hAnsi="Arial"/>
                <w:color w:val="1E293B"/>
                <w:sz w:val="17"/>
              </w:rPr>
              <w:t>Ingeniería de detalle, licenciamiento, supervisión (+18% s/OCC)</w:t>
            </w:r>
          </w:p>
        </w:tc>
        <w:tc>
          <w:tcPr>
            <w:tcW w:type="dxa" w:w="1584"/>
            <w:shd w:fill="F8FAFC"/>
            <w:tcMar>
              <w:top w:w="80" w:type="dxa"/>
              <w:bottom w:w="80" w:type="dxa"/>
              <w:left w:w="80" w:type="dxa"/>
              <w:right w:w="80" w:type="dxa"/>
            </w:tcMar>
          </w:tcPr>
          <w:p>
            <w:pPr>
              <w:jc w:val="right"/>
            </w:pPr>
            <w:r>
              <w:rPr>
                <w:rFonts w:ascii="Arial" w:hAnsi="Arial"/>
                <w:color w:val="1E293B"/>
                <w:sz w:val="17"/>
              </w:rPr>
              <w:t>227 M€</w:t>
            </w:r>
          </w:p>
        </w:tc>
        <w:tc>
          <w:tcPr>
            <w:tcW w:type="dxa" w:w="1584"/>
            <w:shd w:fill="F8FAFC"/>
            <w:tcMar>
              <w:top w:w="80" w:type="dxa"/>
              <w:bottom w:w="80" w:type="dxa"/>
              <w:left w:w="80" w:type="dxa"/>
              <w:right w:w="80" w:type="dxa"/>
            </w:tcMar>
          </w:tcPr>
          <w:p>
            <w:pPr>
              <w:jc w:val="right"/>
            </w:pPr>
            <w:r>
              <w:rPr>
                <w:rFonts w:ascii="Arial" w:hAnsi="Arial"/>
                <w:color w:val="1E293B"/>
                <w:sz w:val="17"/>
              </w:rPr>
              <w:t>11,6%</w:t>
            </w:r>
          </w:p>
        </w:tc>
      </w:tr>
      <w:tr>
        <w:tc>
          <w:tcPr>
            <w:tcW w:type="dxa" w:w="3600"/>
            <w:shd w:fill="FFFFFF"/>
            <w:tcMar>
              <w:top w:w="80" w:type="dxa"/>
              <w:bottom w:w="80" w:type="dxa"/>
              <w:left w:w="80" w:type="dxa"/>
              <w:right w:w="80" w:type="dxa"/>
            </w:tcMar>
          </w:tcPr>
          <w:p>
            <w:pPr>
              <w:jc w:val="left"/>
            </w:pPr>
            <w:r>
              <w:rPr>
                <w:rFonts w:ascii="Arial" w:hAnsi="Arial"/>
                <w:b/>
                <w:color w:val="1E293B"/>
                <w:sz w:val="17"/>
              </w:rPr>
              <w:t>3. Fondo de Contingencias FOAK / NOAK</w:t>
            </w:r>
          </w:p>
        </w:tc>
        <w:tc>
          <w:tcPr>
            <w:tcW w:type="dxa" w:w="2592"/>
            <w:shd w:fill="FFFFFF"/>
            <w:tcMar>
              <w:top w:w="80" w:type="dxa"/>
              <w:bottom w:w="80" w:type="dxa"/>
              <w:left w:w="80" w:type="dxa"/>
              <w:right w:w="80" w:type="dxa"/>
            </w:tcMar>
          </w:tcPr>
          <w:p>
            <w:pPr>
              <w:jc w:val="left"/>
            </w:pPr>
            <w:r>
              <w:rPr>
                <w:rFonts w:ascii="Arial" w:hAnsi="Arial"/>
                <w:color w:val="1E293B"/>
                <w:sz w:val="17"/>
              </w:rPr>
              <w:t>Margen de imprevistos (+20% FOAK / +8% NOAK s/Base)</w:t>
            </w:r>
          </w:p>
        </w:tc>
        <w:tc>
          <w:tcPr>
            <w:tcW w:type="dxa" w:w="1584"/>
            <w:shd w:fill="FFFFFF"/>
            <w:tcMar>
              <w:top w:w="80" w:type="dxa"/>
              <w:bottom w:w="80" w:type="dxa"/>
              <w:left w:w="80" w:type="dxa"/>
              <w:right w:w="80" w:type="dxa"/>
            </w:tcMar>
          </w:tcPr>
          <w:p>
            <w:pPr>
              <w:jc w:val="right"/>
            </w:pPr>
            <w:r>
              <w:rPr>
                <w:rFonts w:ascii="Arial" w:hAnsi="Arial"/>
                <w:color w:val="1E293B"/>
                <w:sz w:val="17"/>
              </w:rPr>
              <w:t>297 M€</w:t>
            </w:r>
          </w:p>
        </w:tc>
        <w:tc>
          <w:tcPr>
            <w:tcW w:type="dxa" w:w="1584"/>
            <w:shd w:fill="FFFFFF"/>
            <w:tcMar>
              <w:top w:w="80" w:type="dxa"/>
              <w:bottom w:w="80" w:type="dxa"/>
              <w:left w:w="80" w:type="dxa"/>
              <w:right w:w="80" w:type="dxa"/>
            </w:tcMar>
          </w:tcPr>
          <w:p>
            <w:pPr>
              <w:jc w:val="right"/>
            </w:pPr>
            <w:r>
              <w:rPr>
                <w:rFonts w:ascii="Arial" w:hAnsi="Arial"/>
                <w:color w:val="1E293B"/>
                <w:sz w:val="17"/>
              </w:rPr>
              <w:t>15,2%</w:t>
            </w:r>
          </w:p>
        </w:tc>
      </w:tr>
      <w:tr>
        <w:tc>
          <w:tcPr>
            <w:tcW w:type="dxa" w:w="3600"/>
            <w:shd w:fill="F8FAFC"/>
            <w:tcMar>
              <w:top w:w="80" w:type="dxa"/>
              <w:bottom w:w="80" w:type="dxa"/>
              <w:left w:w="80" w:type="dxa"/>
              <w:right w:w="80" w:type="dxa"/>
            </w:tcMar>
          </w:tcPr>
          <w:p>
            <w:pPr>
              <w:jc w:val="left"/>
            </w:pPr>
            <w:r>
              <w:rPr>
                <w:rFonts w:ascii="Arial" w:hAnsi="Arial"/>
                <w:b/>
                <w:color w:val="1E293B"/>
                <w:sz w:val="17"/>
              </w:rPr>
              <w:t>4. Intereses Durante Construcción (IDC)</w:t>
            </w:r>
          </w:p>
        </w:tc>
        <w:tc>
          <w:tcPr>
            <w:tcW w:type="dxa" w:w="2592"/>
            <w:shd w:fill="F8FAFC"/>
            <w:tcMar>
              <w:top w:w="80" w:type="dxa"/>
              <w:bottom w:w="80" w:type="dxa"/>
              <w:left w:w="80" w:type="dxa"/>
              <w:right w:w="80" w:type="dxa"/>
            </w:tcMar>
          </w:tcPr>
          <w:p>
            <w:pPr>
              <w:jc w:val="left"/>
            </w:pPr>
            <w:r>
              <w:rPr>
                <w:rFonts w:ascii="Arial" w:hAnsi="Arial"/>
                <w:color w:val="1E293B"/>
                <w:sz w:val="17"/>
              </w:rPr>
              <w:t>Financiación intercalar 36 meses al 7% WACC</w:t>
            </w:r>
          </w:p>
        </w:tc>
        <w:tc>
          <w:tcPr>
            <w:tcW w:type="dxa" w:w="1584"/>
            <w:shd w:fill="F8FAFC"/>
            <w:tcMar>
              <w:top w:w="80" w:type="dxa"/>
              <w:bottom w:w="80" w:type="dxa"/>
              <w:left w:w="80" w:type="dxa"/>
              <w:right w:w="80" w:type="dxa"/>
            </w:tcMar>
          </w:tcPr>
          <w:p>
            <w:pPr>
              <w:jc w:val="right"/>
            </w:pPr>
            <w:r>
              <w:rPr>
                <w:rFonts w:ascii="Arial" w:hAnsi="Arial"/>
                <w:color w:val="1E293B"/>
                <w:sz w:val="17"/>
              </w:rPr>
              <w:t>166 M€</w:t>
            </w:r>
          </w:p>
        </w:tc>
        <w:tc>
          <w:tcPr>
            <w:tcW w:type="dxa" w:w="1584"/>
            <w:shd w:fill="F8FAFC"/>
            <w:tcMar>
              <w:top w:w="80" w:type="dxa"/>
              <w:bottom w:w="80" w:type="dxa"/>
              <w:left w:w="80" w:type="dxa"/>
              <w:right w:w="80" w:type="dxa"/>
            </w:tcMar>
          </w:tcPr>
          <w:p>
            <w:pPr>
              <w:jc w:val="right"/>
            </w:pPr>
            <w:r>
              <w:rPr>
                <w:rFonts w:ascii="Arial" w:hAnsi="Arial"/>
                <w:color w:val="1E293B"/>
                <w:sz w:val="17"/>
              </w:rPr>
              <w:t>8,6%</w:t>
            </w:r>
          </w:p>
        </w:tc>
      </w:tr>
      <w:tr>
        <w:tc>
          <w:tcPr>
            <w:tcW w:type="dxa" w:w="3600"/>
            <w:shd w:fill="E0F2FE"/>
            <w:tcMar>
              <w:top w:w="80" w:type="dxa"/>
              <w:bottom w:w="80" w:type="dxa"/>
              <w:left w:w="80" w:type="dxa"/>
              <w:right w:w="80" w:type="dxa"/>
            </w:tcMar>
          </w:tcPr>
          <w:p>
            <w:pPr>
              <w:jc w:val="left"/>
            </w:pPr>
            <w:r>
              <w:rPr>
                <w:rFonts w:ascii="Arial" w:hAnsi="Arial"/>
                <w:b/>
                <w:color w:val="0F2C59"/>
                <w:sz w:val="17"/>
              </w:rPr>
              <w:t>TOTAL CAPITAL INVESTMENT (TCI)</w:t>
            </w:r>
          </w:p>
        </w:tc>
        <w:tc>
          <w:tcPr>
            <w:tcW w:type="dxa" w:w="2592"/>
            <w:shd w:fill="E0F2FE"/>
            <w:tcMar>
              <w:top w:w="80" w:type="dxa"/>
              <w:bottom w:w="80" w:type="dxa"/>
              <w:left w:w="80" w:type="dxa"/>
              <w:right w:w="80" w:type="dxa"/>
            </w:tcMar>
          </w:tcPr>
          <w:p>
            <w:pPr>
              <w:jc w:val="left"/>
            </w:pPr>
            <w:r>
              <w:rPr>
                <w:rFonts w:ascii="Arial" w:hAnsi="Arial"/>
                <w:b/>
                <w:color w:val="0F2C59"/>
                <w:sz w:val="17"/>
              </w:rPr>
              <w:t>Inversión total consolidada puesta en servicio comercial</w:t>
            </w:r>
          </w:p>
        </w:tc>
        <w:tc>
          <w:tcPr>
            <w:tcW w:type="dxa" w:w="1584"/>
            <w:shd w:fill="E0F2FE"/>
            <w:tcMar>
              <w:top w:w="80" w:type="dxa"/>
              <w:bottom w:w="80" w:type="dxa"/>
              <w:left w:w="80" w:type="dxa"/>
              <w:right w:w="80" w:type="dxa"/>
            </w:tcMar>
          </w:tcPr>
          <w:p>
            <w:pPr>
              <w:jc w:val="right"/>
            </w:pPr>
            <w:r>
              <w:rPr>
                <w:rFonts w:ascii="Arial" w:hAnsi="Arial"/>
                <w:b/>
                <w:color w:val="0F2C59"/>
                <w:sz w:val="17"/>
              </w:rPr>
              <w:t>1.950 M€</w:t>
            </w:r>
          </w:p>
        </w:tc>
        <w:tc>
          <w:tcPr>
            <w:tcW w:type="dxa" w:w="1584"/>
            <w:shd w:fill="E0F2FE"/>
            <w:tcMar>
              <w:top w:w="80" w:type="dxa"/>
              <w:bottom w:w="80" w:type="dxa"/>
              <w:left w:w="80" w:type="dxa"/>
              <w:right w:w="80" w:type="dxa"/>
            </w:tcMar>
          </w:tcPr>
          <w:p>
            <w:pPr>
              <w:jc w:val="right"/>
            </w:pPr>
            <w:r>
              <w:rPr>
                <w:rFonts w:ascii="Arial" w:hAnsi="Arial"/>
                <w:b/>
                <w:color w:val="0F2C59"/>
                <w:sz w:val="17"/>
              </w:rPr>
              <w:t>100,0%</w:t>
            </w:r>
          </w:p>
        </w:tc>
      </w:tr>
      <w:tr>
        <w:tc>
          <w:tcPr>
            <w:tcW w:type="dxa" w:w="3600"/>
            <w:shd w:fill="F8FAFC"/>
            <w:tcMar>
              <w:top w:w="80" w:type="dxa"/>
              <w:bottom w:w="80" w:type="dxa"/>
              <w:left w:w="80" w:type="dxa"/>
              <w:right w:w="80" w:type="dxa"/>
            </w:tcMar>
          </w:tcPr>
          <w:p>
            <w:pPr>
              <w:jc w:val="left"/>
            </w:pPr>
            <w:r>
              <w:rPr>
                <w:rFonts w:ascii="Arial" w:hAnsi="Arial"/>
                <w:b/>
                <w:color w:val="1E293B"/>
                <w:sz w:val="17"/>
              </w:rPr>
              <w:t>Ratio Específico Unitario</w:t>
            </w:r>
          </w:p>
        </w:tc>
        <w:tc>
          <w:tcPr>
            <w:tcW w:type="dxa" w:w="2592"/>
            <w:shd w:fill="F8FAFC"/>
            <w:tcMar>
              <w:top w:w="80" w:type="dxa"/>
              <w:bottom w:w="80" w:type="dxa"/>
              <w:left w:w="80" w:type="dxa"/>
              <w:right w:w="80" w:type="dxa"/>
            </w:tcMar>
          </w:tcPr>
          <w:p>
            <w:pPr>
              <w:jc w:val="left"/>
            </w:pPr>
            <w:r>
              <w:rPr>
                <w:rFonts w:ascii="Arial" w:hAnsi="Arial"/>
                <w:color w:val="1E293B"/>
                <w:sz w:val="17"/>
              </w:rPr>
              <w:t>Inversión específica por unidad de potencia eléctrica neta</w:t>
            </w:r>
          </w:p>
        </w:tc>
        <w:tc>
          <w:tcPr>
            <w:tcW w:type="dxa" w:w="1584"/>
            <w:shd w:fill="F8FAFC"/>
            <w:tcMar>
              <w:top w:w="80" w:type="dxa"/>
              <w:bottom w:w="80" w:type="dxa"/>
              <w:left w:w="80" w:type="dxa"/>
              <w:right w:w="80" w:type="dxa"/>
            </w:tcMar>
          </w:tcPr>
          <w:p>
            <w:pPr>
              <w:jc w:val="right"/>
            </w:pPr>
            <w:r>
              <w:rPr>
                <w:rFonts w:ascii="Arial" w:hAnsi="Arial"/>
                <w:color w:val="1E293B"/>
                <w:sz w:val="17"/>
              </w:rPr>
              <w:t>6.500 €/kWe</w:t>
            </w:r>
          </w:p>
        </w:tc>
        <w:tc>
          <w:tcPr>
            <w:tcW w:type="dxa" w:w="1584"/>
            <w:shd w:fill="F8FAFC"/>
            <w:tcMar>
              <w:top w:w="80" w:type="dxa"/>
              <w:bottom w:w="80" w:type="dxa"/>
              <w:left w:w="80" w:type="dxa"/>
              <w:right w:w="80" w:type="dxa"/>
            </w:tcMar>
          </w:tcPr>
          <w:p>
            <w:pPr>
              <w:jc w:val="right"/>
            </w:pPr>
            <w:r>
              <w:rPr>
                <w:rFonts w:ascii="Arial" w:hAnsi="Arial"/>
                <w:color w:val="1E293B"/>
                <w:sz w:val="17"/>
              </w:rPr>
              <w:t>—</w:t>
            </w:r>
          </w:p>
        </w:tc>
      </w:tr>
    </w:tbl>
    <w:p>
      <w:pPr>
        <w:spacing w:before="80" w:after="240"/>
      </w:pPr>
      <w:r>
        <w:rPr>
          <w:rFonts w:ascii="Arial" w:hAnsi="Arial"/>
          <w:i/>
          <w:color w:val="64748B"/>
          <w:sz w:val="16"/>
        </w:rPr>
        <w:t>Tabla 2: Estructura de costes de capital (CBS) para una planta FOAK de 300 MWe (ej. GE Hitachi BWRX-300). Fuente: Estimación de ingeniería basada en estándares EPRI / NEA.</w:t>
      </w:r>
    </w:p>
    <w:p>
      <w:pPr>
        <w:keepNext/>
        <w:spacing w:before="280" w:after="80"/>
      </w:pPr>
      <w:r>
        <w:rPr>
          <w:rFonts w:ascii="Arial" w:hAnsi="Arial"/>
          <w:b/>
          <w:color w:val="1E3A8A"/>
          <w:sz w:val="24"/>
        </w:rPr>
        <w:t>4.2. Formulación Matemática del LCOE y Sensibilidad al Coste de Capital (WACC)</w:t>
      </w:r>
    </w:p>
    <w:p>
      <w:pPr>
        <w:spacing w:before="0" w:after="120" w:line="276" w:lineRule="auto"/>
      </w:pPr>
      <w:r>
        <w:rPr>
          <w:rFonts w:ascii="Arial" w:hAnsi="Arial"/>
          <w:color w:val="1E293B"/>
          <w:sz w:val="20"/>
        </w:rPr>
        <w:t>En la teoría económica de sistemas de generación, el Coste Nivelado de la Electricidad (Levelized Cost of Electricity - LCOE) representa el precio medio constante que debe percibir cada megavatio-hora generado a lo largo de la vida útil del activo (N = 60 años) para recuperar la totalidad de las inversiones de capital, los costes de explotación y garantizar la rentabilidad mínima exigida (WACC):</w:t>
        <w:br/>
        <w:br/>
        <w:t xml:space="preserve">                  TCI · CRF + C_O&amp;M,fijo</w:t>
        <w:br/>
        <w:t xml:space="preserve">      LCOE = ───────────────────────────── + C_O&amp;M,var + C_comb + C_decom</w:t>
        <w:br/>
        <w:t xml:space="preserve">                          E_anual</w:t>
        <w:br/>
        <w:br/>
        <w:t>Donde:</w:t>
        <w:br/>
        <w:t>• TCI: Inversión total de capital puesta en servicio (Total Capital Investment), incluyendo costes directos, indirectos, contingencias e IDC.</w:t>
        <w:br/>
        <w:t>• CRF: Factor de Recuperación de Capital (Capital Recovery Factor):</w:t>
        <w:br/>
        <w:t xml:space="preserve">      CRF = [WACC · (1 + WACC)^N] / [(1 + WACC)^N - 1]</w:t>
        <w:br/>
        <w:t>• E_anual: Generación eléctrica neta anual (MWh/año) = P_neta · 8.760 h · CF.</w:t>
        <w:br/>
        <w:t>• C_comb: Coste de ciclo del combustible nuclear, enriquecimiento y fabricación de elementos combustibles (~7,0 €/MWh).</w:t>
        <w:br/>
        <w:t>• C_decom: Fondo de desmantelamiento y provisión para gestión final del combustible gastado (~2,0 €/MWh).</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592"/>
            <w:shd w:fill="0F2C59"/>
            <w:tcMar>
              <w:top w:w="100" w:type="dxa"/>
              <w:bottom w:w="100" w:type="dxa"/>
              <w:left w:w="80" w:type="dxa"/>
              <w:right w:w="80" w:type="dxa"/>
            </w:tcMar>
          </w:tcPr>
          <w:p>
            <w:pPr>
              <w:jc w:val="left"/>
            </w:pPr>
            <w:r>
              <w:rPr>
                <w:rFonts w:ascii="Arial" w:hAnsi="Arial"/>
                <w:b/>
                <w:color w:val="FFFFFF"/>
                <w:sz w:val="17"/>
              </w:rPr>
              <w:t>Escenario de Financiación</w:t>
            </w:r>
          </w:p>
        </w:tc>
        <w:tc>
          <w:tcPr>
            <w:tcW w:type="dxa" w:w="1296"/>
            <w:shd w:fill="0F2C59"/>
            <w:tcMar>
              <w:top w:w="100" w:type="dxa"/>
              <w:bottom w:w="100" w:type="dxa"/>
              <w:left w:w="80" w:type="dxa"/>
              <w:right w:w="80" w:type="dxa"/>
            </w:tcMar>
          </w:tcPr>
          <w:p>
            <w:pPr>
              <w:jc w:val="left"/>
            </w:pPr>
            <w:r>
              <w:rPr>
                <w:rFonts w:ascii="Arial" w:hAnsi="Arial"/>
                <w:b/>
                <w:color w:val="FFFFFF"/>
                <w:sz w:val="17"/>
              </w:rPr>
              <w:t>WACC</w:t>
            </w:r>
          </w:p>
        </w:tc>
        <w:tc>
          <w:tcPr>
            <w:tcW w:type="dxa" w:w="1440"/>
            <w:shd w:fill="0F2C59"/>
            <w:tcMar>
              <w:top w:w="100" w:type="dxa"/>
              <w:bottom w:w="100" w:type="dxa"/>
              <w:left w:w="80" w:type="dxa"/>
              <w:right w:w="80" w:type="dxa"/>
            </w:tcMar>
          </w:tcPr>
          <w:p>
            <w:pPr>
              <w:jc w:val="right"/>
            </w:pPr>
            <w:r>
              <w:rPr>
                <w:rFonts w:ascii="Arial" w:hAnsi="Arial"/>
                <w:b/>
                <w:color w:val="FFFFFF"/>
                <w:sz w:val="17"/>
              </w:rPr>
              <w:t>Amortiz. CAPEX</w:t>
            </w:r>
          </w:p>
        </w:tc>
        <w:tc>
          <w:tcPr>
            <w:tcW w:type="dxa" w:w="1296"/>
            <w:shd w:fill="0F2C59"/>
            <w:tcMar>
              <w:top w:w="100" w:type="dxa"/>
              <w:bottom w:w="100" w:type="dxa"/>
              <w:left w:w="80" w:type="dxa"/>
              <w:right w:w="80" w:type="dxa"/>
            </w:tcMar>
          </w:tcPr>
          <w:p>
            <w:pPr>
              <w:jc w:val="right"/>
            </w:pPr>
            <w:r>
              <w:rPr>
                <w:rFonts w:ascii="Arial" w:hAnsi="Arial"/>
                <w:b/>
                <w:color w:val="FFFFFF"/>
                <w:sz w:val="17"/>
              </w:rPr>
              <w:t>O&amp;M</w:t>
            </w:r>
          </w:p>
        </w:tc>
        <w:tc>
          <w:tcPr>
            <w:tcW w:type="dxa" w:w="1296"/>
            <w:shd w:fill="0F2C59"/>
            <w:tcMar>
              <w:top w:w="100" w:type="dxa"/>
              <w:bottom w:w="100" w:type="dxa"/>
              <w:left w:w="80" w:type="dxa"/>
              <w:right w:w="80" w:type="dxa"/>
            </w:tcMar>
          </w:tcPr>
          <w:p>
            <w:pPr>
              <w:jc w:val="right"/>
            </w:pPr>
            <w:r>
              <w:rPr>
                <w:rFonts w:ascii="Arial" w:hAnsi="Arial"/>
                <w:b/>
                <w:color w:val="FFFFFF"/>
                <w:sz w:val="17"/>
              </w:rPr>
              <w:t>Combustible</w:t>
            </w:r>
          </w:p>
        </w:tc>
        <w:tc>
          <w:tcPr>
            <w:tcW w:type="dxa" w:w="1440"/>
            <w:shd w:fill="0F2C59"/>
            <w:tcMar>
              <w:top w:w="100" w:type="dxa"/>
              <w:bottom w:w="100" w:type="dxa"/>
              <w:left w:w="80" w:type="dxa"/>
              <w:right w:w="80" w:type="dxa"/>
            </w:tcMar>
          </w:tcPr>
          <w:p>
            <w:pPr>
              <w:jc w:val="right"/>
            </w:pPr>
            <w:r>
              <w:rPr>
                <w:rFonts w:ascii="Arial" w:hAnsi="Arial"/>
                <w:b/>
                <w:color w:val="FFFFFF"/>
                <w:sz w:val="17"/>
              </w:rPr>
              <w:t>LCOE Total</w:t>
            </w:r>
          </w:p>
        </w:tc>
      </w:tr>
      <w:tr>
        <w:tc>
          <w:tcPr>
            <w:tcW w:type="dxa" w:w="2592"/>
            <w:shd w:fill="FFFFFF"/>
            <w:tcMar>
              <w:top w:w="80" w:type="dxa"/>
              <w:bottom w:w="80" w:type="dxa"/>
              <w:left w:w="80" w:type="dxa"/>
              <w:right w:w="80" w:type="dxa"/>
            </w:tcMar>
          </w:tcPr>
          <w:p>
            <w:pPr>
              <w:jc w:val="left"/>
            </w:pPr>
            <w:r>
              <w:rPr>
                <w:rFonts w:ascii="Arial" w:hAnsi="Arial"/>
                <w:color w:val="1E293B"/>
                <w:sz w:val="17"/>
              </w:rPr>
              <w:t>RAB / Público (Aval Estatal)</w:t>
            </w:r>
          </w:p>
        </w:tc>
        <w:tc>
          <w:tcPr>
            <w:tcW w:type="dxa" w:w="1296"/>
            <w:shd w:fill="FFFFFF"/>
            <w:tcMar>
              <w:top w:w="80" w:type="dxa"/>
              <w:bottom w:w="80" w:type="dxa"/>
              <w:left w:w="80" w:type="dxa"/>
              <w:right w:w="80" w:type="dxa"/>
            </w:tcMar>
          </w:tcPr>
          <w:p>
            <w:pPr>
              <w:jc w:val="left"/>
            </w:pPr>
            <w:r>
              <w:rPr>
                <w:rFonts w:ascii="Arial" w:hAnsi="Arial"/>
                <w:color w:val="1E293B"/>
                <w:sz w:val="17"/>
              </w:rPr>
              <w:t>4,0%</w:t>
            </w:r>
          </w:p>
        </w:tc>
        <w:tc>
          <w:tcPr>
            <w:tcW w:type="dxa" w:w="1440"/>
            <w:shd w:fill="FFFFFF"/>
            <w:tcMar>
              <w:top w:w="80" w:type="dxa"/>
              <w:bottom w:w="80" w:type="dxa"/>
              <w:left w:w="80" w:type="dxa"/>
              <w:right w:w="80" w:type="dxa"/>
            </w:tcMar>
          </w:tcPr>
          <w:p>
            <w:pPr>
              <w:jc w:val="right"/>
            </w:pPr>
            <w:r>
              <w:rPr>
                <w:rFonts w:ascii="Arial" w:hAnsi="Arial"/>
                <w:color w:val="1E293B"/>
                <w:sz w:val="17"/>
              </w:rPr>
              <w:t>36 €/MWh</w:t>
            </w:r>
          </w:p>
        </w:tc>
        <w:tc>
          <w:tcPr>
            <w:tcW w:type="dxa" w:w="1296"/>
            <w:shd w:fill="FFFFFF"/>
            <w:tcMar>
              <w:top w:w="80" w:type="dxa"/>
              <w:bottom w:w="80" w:type="dxa"/>
              <w:left w:w="80" w:type="dxa"/>
              <w:right w:w="80" w:type="dxa"/>
            </w:tcMar>
          </w:tcPr>
          <w:p>
            <w:pPr>
              <w:jc w:val="right"/>
            </w:pPr>
            <w:r>
              <w:rPr>
                <w:rFonts w:ascii="Arial" w:hAnsi="Arial"/>
                <w:color w:val="1E293B"/>
                <w:sz w:val="17"/>
              </w:rPr>
              <w:t>12 €/MWh</w:t>
            </w:r>
          </w:p>
        </w:tc>
        <w:tc>
          <w:tcPr>
            <w:tcW w:type="dxa" w:w="1296"/>
            <w:shd w:fill="FFFFFF"/>
            <w:tcMar>
              <w:top w:w="80" w:type="dxa"/>
              <w:bottom w:w="80" w:type="dxa"/>
              <w:left w:w="80" w:type="dxa"/>
              <w:right w:w="80" w:type="dxa"/>
            </w:tcMar>
          </w:tcPr>
          <w:p>
            <w:pPr>
              <w:jc w:val="right"/>
            </w:pPr>
            <w:r>
              <w:rPr>
                <w:rFonts w:ascii="Arial" w:hAnsi="Arial"/>
                <w:color w:val="1E293B"/>
                <w:sz w:val="17"/>
              </w:rPr>
              <w:t>9 €/MWh</w:t>
            </w:r>
          </w:p>
        </w:tc>
        <w:tc>
          <w:tcPr>
            <w:tcW w:type="dxa" w:w="1440"/>
            <w:shd w:fill="FFFFFF"/>
            <w:tcMar>
              <w:top w:w="80" w:type="dxa"/>
              <w:bottom w:w="80" w:type="dxa"/>
              <w:left w:w="80" w:type="dxa"/>
              <w:right w:w="80" w:type="dxa"/>
            </w:tcMar>
          </w:tcPr>
          <w:p>
            <w:pPr>
              <w:jc w:val="right"/>
            </w:pPr>
            <w:r>
              <w:rPr>
                <w:rFonts w:ascii="Arial" w:hAnsi="Arial"/>
                <w:b/>
                <w:color w:val="16A34A"/>
                <w:sz w:val="17"/>
              </w:rPr>
              <w:t>57 €/MWh</w:t>
            </w:r>
          </w:p>
        </w:tc>
      </w:tr>
      <w:tr>
        <w:tc>
          <w:tcPr>
            <w:tcW w:type="dxa" w:w="2592"/>
            <w:shd w:fill="F8FAFC"/>
            <w:tcMar>
              <w:top w:w="80" w:type="dxa"/>
              <w:bottom w:w="80" w:type="dxa"/>
              <w:left w:w="80" w:type="dxa"/>
              <w:right w:w="80" w:type="dxa"/>
            </w:tcMar>
          </w:tcPr>
          <w:p>
            <w:pPr>
              <w:jc w:val="left"/>
            </w:pPr>
            <w:r>
              <w:rPr>
                <w:rFonts w:ascii="Arial" w:hAnsi="Arial"/>
                <w:color w:val="1E293B"/>
                <w:sz w:val="17"/>
              </w:rPr>
              <w:t>PPA Industrial Privado</w:t>
            </w:r>
          </w:p>
        </w:tc>
        <w:tc>
          <w:tcPr>
            <w:tcW w:type="dxa" w:w="1296"/>
            <w:shd w:fill="F8FAFC"/>
            <w:tcMar>
              <w:top w:w="80" w:type="dxa"/>
              <w:bottom w:w="80" w:type="dxa"/>
              <w:left w:w="80" w:type="dxa"/>
              <w:right w:w="80" w:type="dxa"/>
            </w:tcMar>
          </w:tcPr>
          <w:p>
            <w:pPr>
              <w:jc w:val="left"/>
            </w:pPr>
            <w:r>
              <w:rPr>
                <w:rFonts w:ascii="Arial" w:hAnsi="Arial"/>
                <w:color w:val="1E293B"/>
                <w:sz w:val="17"/>
              </w:rPr>
              <w:t>7,0%</w:t>
            </w:r>
          </w:p>
        </w:tc>
        <w:tc>
          <w:tcPr>
            <w:tcW w:type="dxa" w:w="1440"/>
            <w:shd w:fill="F8FAFC"/>
            <w:tcMar>
              <w:top w:w="80" w:type="dxa"/>
              <w:bottom w:w="80" w:type="dxa"/>
              <w:left w:w="80" w:type="dxa"/>
              <w:right w:w="80" w:type="dxa"/>
            </w:tcMar>
          </w:tcPr>
          <w:p>
            <w:pPr>
              <w:jc w:val="right"/>
            </w:pPr>
            <w:r>
              <w:rPr>
                <w:rFonts w:ascii="Arial" w:hAnsi="Arial"/>
                <w:color w:val="1E293B"/>
                <w:sz w:val="17"/>
              </w:rPr>
              <w:t>58 €/MWh</w:t>
            </w:r>
          </w:p>
        </w:tc>
        <w:tc>
          <w:tcPr>
            <w:tcW w:type="dxa" w:w="1296"/>
            <w:shd w:fill="F8FAFC"/>
            <w:tcMar>
              <w:top w:w="80" w:type="dxa"/>
              <w:bottom w:w="80" w:type="dxa"/>
              <w:left w:w="80" w:type="dxa"/>
              <w:right w:w="80" w:type="dxa"/>
            </w:tcMar>
          </w:tcPr>
          <w:p>
            <w:pPr>
              <w:jc w:val="right"/>
            </w:pPr>
            <w:r>
              <w:rPr>
                <w:rFonts w:ascii="Arial" w:hAnsi="Arial"/>
                <w:color w:val="1E293B"/>
                <w:sz w:val="17"/>
              </w:rPr>
              <w:t>12 €/MWh</w:t>
            </w:r>
          </w:p>
        </w:tc>
        <w:tc>
          <w:tcPr>
            <w:tcW w:type="dxa" w:w="1296"/>
            <w:shd w:fill="F8FAFC"/>
            <w:tcMar>
              <w:top w:w="80" w:type="dxa"/>
              <w:bottom w:w="80" w:type="dxa"/>
              <w:left w:w="80" w:type="dxa"/>
              <w:right w:w="80" w:type="dxa"/>
            </w:tcMar>
          </w:tcPr>
          <w:p>
            <w:pPr>
              <w:jc w:val="right"/>
            </w:pPr>
            <w:r>
              <w:rPr>
                <w:rFonts w:ascii="Arial" w:hAnsi="Arial"/>
                <w:color w:val="1E293B"/>
                <w:sz w:val="17"/>
              </w:rPr>
              <w:t>9 €/MWh</w:t>
            </w:r>
          </w:p>
        </w:tc>
        <w:tc>
          <w:tcPr>
            <w:tcW w:type="dxa" w:w="1440"/>
            <w:shd w:fill="F8FAFC"/>
            <w:tcMar>
              <w:top w:w="80" w:type="dxa"/>
              <w:bottom w:w="80" w:type="dxa"/>
              <w:left w:w="80" w:type="dxa"/>
              <w:right w:w="80" w:type="dxa"/>
            </w:tcMar>
          </w:tcPr>
          <w:p>
            <w:pPr>
              <w:jc w:val="right"/>
            </w:pPr>
            <w:r>
              <w:rPr>
                <w:rFonts w:ascii="Arial" w:hAnsi="Arial"/>
                <w:b/>
                <w:color w:val="0284C7"/>
                <w:sz w:val="17"/>
              </w:rPr>
              <w:t>79 €/MWh</w:t>
            </w:r>
          </w:p>
        </w:tc>
      </w:tr>
      <w:tr>
        <w:tc>
          <w:tcPr>
            <w:tcW w:type="dxa" w:w="2592"/>
            <w:shd w:fill="FFFFFF"/>
            <w:tcMar>
              <w:top w:w="80" w:type="dxa"/>
              <w:bottom w:w="80" w:type="dxa"/>
              <w:left w:w="80" w:type="dxa"/>
              <w:right w:w="80" w:type="dxa"/>
            </w:tcMar>
          </w:tcPr>
          <w:p>
            <w:pPr>
              <w:jc w:val="left"/>
            </w:pPr>
            <w:r>
              <w:rPr>
                <w:rFonts w:ascii="Arial" w:hAnsi="Arial"/>
                <w:color w:val="1E293B"/>
                <w:sz w:val="17"/>
              </w:rPr>
              <w:t>Mercado Merchant a Riesgo Pool</w:t>
            </w:r>
          </w:p>
        </w:tc>
        <w:tc>
          <w:tcPr>
            <w:tcW w:type="dxa" w:w="1296"/>
            <w:shd w:fill="FFFFFF"/>
            <w:tcMar>
              <w:top w:w="80" w:type="dxa"/>
              <w:bottom w:w="80" w:type="dxa"/>
              <w:left w:w="80" w:type="dxa"/>
              <w:right w:w="80" w:type="dxa"/>
            </w:tcMar>
          </w:tcPr>
          <w:p>
            <w:pPr>
              <w:jc w:val="left"/>
            </w:pPr>
            <w:r>
              <w:rPr>
                <w:rFonts w:ascii="Arial" w:hAnsi="Arial"/>
                <w:color w:val="1E293B"/>
                <w:sz w:val="17"/>
              </w:rPr>
              <w:t>10,0%</w:t>
            </w:r>
          </w:p>
        </w:tc>
        <w:tc>
          <w:tcPr>
            <w:tcW w:type="dxa" w:w="1440"/>
            <w:shd w:fill="FFFFFF"/>
            <w:tcMar>
              <w:top w:w="80" w:type="dxa"/>
              <w:bottom w:w="80" w:type="dxa"/>
              <w:left w:w="80" w:type="dxa"/>
              <w:right w:w="80" w:type="dxa"/>
            </w:tcMar>
          </w:tcPr>
          <w:p>
            <w:pPr>
              <w:jc w:val="right"/>
            </w:pPr>
            <w:r>
              <w:rPr>
                <w:rFonts w:ascii="Arial" w:hAnsi="Arial"/>
                <w:color w:val="1E293B"/>
                <w:sz w:val="17"/>
              </w:rPr>
              <w:t>84 €/MWh</w:t>
            </w:r>
          </w:p>
        </w:tc>
        <w:tc>
          <w:tcPr>
            <w:tcW w:type="dxa" w:w="1296"/>
            <w:shd w:fill="FFFFFF"/>
            <w:tcMar>
              <w:top w:w="80" w:type="dxa"/>
              <w:bottom w:w="80" w:type="dxa"/>
              <w:left w:w="80" w:type="dxa"/>
              <w:right w:w="80" w:type="dxa"/>
            </w:tcMar>
          </w:tcPr>
          <w:p>
            <w:pPr>
              <w:jc w:val="right"/>
            </w:pPr>
            <w:r>
              <w:rPr>
                <w:rFonts w:ascii="Arial" w:hAnsi="Arial"/>
                <w:color w:val="1E293B"/>
                <w:sz w:val="17"/>
              </w:rPr>
              <w:t>12 €/MWh</w:t>
            </w:r>
          </w:p>
        </w:tc>
        <w:tc>
          <w:tcPr>
            <w:tcW w:type="dxa" w:w="1296"/>
            <w:shd w:fill="FFFFFF"/>
            <w:tcMar>
              <w:top w:w="80" w:type="dxa"/>
              <w:bottom w:w="80" w:type="dxa"/>
              <w:left w:w="80" w:type="dxa"/>
              <w:right w:w="80" w:type="dxa"/>
            </w:tcMar>
          </w:tcPr>
          <w:p>
            <w:pPr>
              <w:jc w:val="right"/>
            </w:pPr>
            <w:r>
              <w:rPr>
                <w:rFonts w:ascii="Arial" w:hAnsi="Arial"/>
                <w:color w:val="1E293B"/>
                <w:sz w:val="17"/>
              </w:rPr>
              <w:t>9 €/MWh</w:t>
            </w:r>
          </w:p>
        </w:tc>
        <w:tc>
          <w:tcPr>
            <w:tcW w:type="dxa" w:w="1440"/>
            <w:shd w:fill="FFFFFF"/>
            <w:tcMar>
              <w:top w:w="80" w:type="dxa"/>
              <w:bottom w:w="80" w:type="dxa"/>
              <w:left w:w="80" w:type="dxa"/>
              <w:right w:w="80" w:type="dxa"/>
            </w:tcMar>
          </w:tcPr>
          <w:p>
            <w:pPr>
              <w:jc w:val="right"/>
            </w:pPr>
            <w:r>
              <w:rPr>
                <w:rFonts w:ascii="Arial" w:hAnsi="Arial"/>
                <w:b/>
                <w:color w:val="D97706"/>
                <w:sz w:val="17"/>
              </w:rPr>
              <w:t>105 €/MWh</w:t>
            </w:r>
          </w:p>
        </w:tc>
      </w:tr>
    </w:tbl>
    <w:p>
      <w:pPr>
        <w:spacing w:before="80" w:after="240"/>
      </w:pPr>
      <w:r>
        <w:rPr>
          <w:rFonts w:ascii="Arial" w:hAnsi="Arial"/>
          <w:i/>
          <w:color w:val="64748B"/>
          <w:sz w:val="16"/>
        </w:rPr>
        <w:t>Tabla 3: Análisis de sensibilidad del LCOE según estructura financiera y tasa de descuento WACC (vida útil: 60 años, disponibilidad: 92%).</w:t>
      </w:r>
    </w:p>
    <w:p>
      <w:pPr>
        <w:spacing w:before="0" w:after="120" w:line="276" w:lineRule="auto"/>
      </w:pPr>
      <w:r>
        <w:rPr>
          <w:rFonts w:ascii="Arial" w:hAnsi="Arial"/>
          <w:color w:val="1E293B"/>
          <w:sz w:val="20"/>
        </w:rPr>
        <w:t>Conclusión Económica Central: El coste de capital (WACC) es el factor dominante en el LCOE de un SMR. Reducir el WACC del 10% (inversión puramente privada a riesgo de mercado) al 4% (mediante modelos regulados RAB o avales públicos del Banco Europeo de Inversiones) disminuye el coste de generación en 48 €/MWh (-45%), blindando la competitividad del reactor frente a cualquier tecnología fósil o renovable respaldada por almacenamiento químico de larga duración.</w:t>
      </w:r>
    </w:p>
    <w:p>
      <w:r>
        <w:br w:type="page"/>
      </w:r>
    </w:p>
    <w:p>
      <w:pPr>
        <w:keepNext/>
        <w:spacing w:before="360" w:after="120"/>
      </w:pPr>
      <w:r>
        <w:rPr>
          <w:rFonts w:ascii="Arial" w:hAnsi="Arial"/>
          <w:b/>
          <w:color w:val="0F2C59"/>
          <w:sz w:val="28"/>
        </w:rPr>
        <w:t>5. Modelos de Financiación, Gestión de Riesgos y Marco Regulatorio Internacional</w:t>
      </w:r>
    </w:p>
    <w:p>
      <w:pPr>
        <w:spacing w:before="0" w:after="120" w:line="276" w:lineRule="auto"/>
      </w:pPr>
      <w:r>
        <w:rPr>
          <w:rFonts w:ascii="Arial" w:hAnsi="Arial"/>
          <w:color w:val="1E293B"/>
          <w:sz w:val="20"/>
        </w:rPr>
        <w:t>Debido a la magnitud del CAPEX inicial, la ejecución comercial de reactores SMR no se estructura sobre el balance de las utilities ni asumiendo pleno riesgo de precios spot en el mercado diario. Los principales marcos regulatorios internacionales despliegan instrumentos de mitigación de riesgo financiero contrastados:</w:t>
      </w:r>
    </w:p>
    <w:p>
      <w:pPr>
        <w:keepNext/>
        <w:spacing w:before="280" w:after="80"/>
      </w:pPr>
      <w:r>
        <w:rPr>
          <w:rFonts w:ascii="Arial" w:hAnsi="Arial"/>
          <w:b/>
          <w:color w:val="1E3A8A"/>
          <w:sz w:val="24"/>
        </w:rPr>
        <w:t>5.1. Instrumentos de Mitigación de Riesgos Financieros</w:t>
      </w:r>
    </w:p>
    <w:p>
      <w:pPr>
        <w:pStyle w:val="ListBullet"/>
        <w:spacing w:before="60" w:after="80" w:line="276" w:lineRule="auto"/>
      </w:pPr>
      <w:r>
        <w:rPr>
          <w:rFonts w:ascii="Arial" w:hAnsi="Arial"/>
          <w:b/>
          <w:color w:val="0F2C59"/>
          <w:sz w:val="19"/>
        </w:rPr>
        <w:t>Contratos por Diferencias Bidireccionales (Two-way CfDs):</w:t>
      </w:r>
      <w:r>
        <w:rPr>
          <w:rFonts w:ascii="Arial" w:hAnsi="Arial"/>
          <w:color w:val="1E293B"/>
          <w:sz w:val="19"/>
        </w:rPr>
        <w:t xml:space="preserve"> El operador firma con el Estado o un consorcio industrial un precio de ejercicio garantizado (Strike Price, ej. 70-75 €/MWh). Si el precio del mercado cae por debajo, el generador recibe una compensación; si el precio supera el umbral, el exceso se devuelve a los consumidores o al presupuesto público, estabilizando los flujos de caja y permitiendo financiar la deuda con tipos de interés reducidos.</w:t>
      </w:r>
    </w:p>
    <w:p>
      <w:pPr>
        <w:pStyle w:val="ListBullet"/>
        <w:spacing w:before="60" w:after="80" w:line="276" w:lineRule="auto"/>
      </w:pPr>
      <w:r>
        <w:rPr>
          <w:rFonts w:ascii="Arial" w:hAnsi="Arial"/>
          <w:b/>
          <w:color w:val="0F2C59"/>
          <w:sz w:val="19"/>
        </w:rPr>
        <w:t>Modelo de Base de Activos Regulados (Regulated Asset Base - RAB):</w:t>
      </w:r>
      <w:r>
        <w:rPr>
          <w:rFonts w:ascii="Arial" w:hAnsi="Arial"/>
          <w:color w:val="1E293B"/>
          <w:sz w:val="19"/>
        </w:rPr>
        <w:t xml:space="preserve"> Implementado por el Reino Unido mediante la ley Nuclear Energy (Financing) Act 2022. Permite a los promotores trasladar parte de los costes financieros a la tarifa regulada durante la fase de obra, disminuyendo radicalmente los intereses durante la construcción (IDC) y reduciendo el coste de capital en más de 300 puntos básicos.</w:t>
      </w:r>
    </w:p>
    <w:p>
      <w:pPr>
        <w:pStyle w:val="ListBullet"/>
        <w:spacing w:before="60" w:after="80" w:line="276" w:lineRule="auto"/>
      </w:pPr>
      <w:r>
        <w:rPr>
          <w:rFonts w:ascii="Arial" w:hAnsi="Arial"/>
          <w:b/>
          <w:color w:val="0F2C59"/>
          <w:sz w:val="19"/>
        </w:rPr>
        <w:t>PPAs Industriales a Largo Plazo con Grandes Consumidores (Off-takers Corporativos):</w:t>
      </w:r>
      <w:r>
        <w:rPr>
          <w:rFonts w:ascii="Arial" w:hAnsi="Arial"/>
          <w:color w:val="1E293B"/>
          <w:sz w:val="19"/>
        </w:rPr>
        <w:t xml:space="preserve"> En 2024, gigantes tecnológicos (Microsoft, Google, Amazon Web Services) y multinacionales químicas han firmado acuerdos bilaterales de compra de energía (PPA) a 20 años vinculados a nuevos reactores modulares para garantizar suministro firme ininterrumpido a sus centros de datos de inteligencia artificial y refinerías.</w:t>
      </w:r>
    </w:p>
    <w:p>
      <w:pPr>
        <w:keepNext/>
        <w:spacing w:before="280" w:after="80"/>
      </w:pPr>
      <w:r>
        <w:rPr>
          <w:rFonts w:ascii="Arial" w:hAnsi="Arial"/>
          <w:b/>
          <w:color w:val="1E3A8A"/>
          <w:sz w:val="24"/>
        </w:rPr>
        <w:t>5.2. Comparativa Internacional: EE.UU., Reino Unido y la Unión Europea</w:t>
      </w:r>
    </w:p>
    <w:p>
      <w:pPr>
        <w:spacing w:before="0" w:after="120" w:line="276" w:lineRule="auto"/>
      </w:pPr>
      <w:r>
        <w:rPr>
          <w:rFonts w:ascii="Arial" w:hAnsi="Arial"/>
          <w:color w:val="1E293B"/>
          <w:sz w:val="20"/>
        </w:rPr>
        <w:t>• Estados Unidos: La Ley de Reducción de la Inflación (IRA) y la Ley de Infraestructura Bipartidista ofrecen créditos fiscales a la producción (Sección 45U y 45Y) de hasta 15 $/MWh, bonificaciones fiscales a la inversión (Sección 48E) de hasta el 30-50% del CAPEX para proyectos ubicados en comunidades energéticas desfavorecidas (antiguas cuencas de carbón), y garantías de préstamos federales a través de la Loan Programs Office (LPO) del Departamento de Energía (DOE).</w:t>
        <w:br/>
        <w:br/>
        <w:t>• Reino Unido: Creación del organismo estatal Great British Nuclear (GBN), dotado de financiación pública directa para cofinanciar la fase de diseño y licenciamiento de tecnologías SMR seleccionadas (Rolls-Royce SMR, Westinghouse AP300, Holtec, GE Hitachi), con el objetivo de conectar hasta 24 GW de energía nuclear antes de 2050.</w:t>
        <w:br/>
        <w:br/>
        <w:t>• Unión Europea: Lanzamiento de la Alianza Industrial Europea sobre SMRs en febrero de 2024 por la Dirección General de Energía (DG ENER). Los proyectos seleccionados (NUWARD, BWRX-300, Rolls-Royce SMR, RoPower NuScale, newcleo LFR, Steady Energy LDR-50) accederán a instrumentos del Fondo de Innovación (financiado con los ingresos del EU ETS) y préstamos preferenciales del Banco Europeo de Inversiones (BEI).</w:t>
      </w:r>
    </w:p>
    <w:p>
      <w:pPr>
        <w:keepNext/>
        <w:spacing w:before="280" w:after="80"/>
      </w:pPr>
      <w:r>
        <w:rPr>
          <w:rFonts w:ascii="Arial" w:hAnsi="Arial"/>
          <w:b/>
          <w:color w:val="1E3A8A"/>
          <w:sz w:val="24"/>
        </w:rPr>
        <w:t>5.3. Reutilización de Emplazamientos 'Coal-to-Nuclear' (C2N)</w:t>
      </w:r>
    </w:p>
    <w:p>
      <w:pPr>
        <w:spacing w:before="0" w:after="120" w:line="276" w:lineRule="auto"/>
      </w:pPr>
      <w:r>
        <w:rPr>
          <w:rFonts w:ascii="Arial" w:hAnsi="Arial"/>
          <w:color w:val="1E293B"/>
          <w:sz w:val="20"/>
        </w:rPr>
        <w:t>El reemplazo directo de centrales térmicas de carbón en proceso de desmantelamiento representa la mayor oportunidad de ahorro técnico-económico para los SMRs. Un informe exhaustivo de la Comisión Europea cuantifica un ahorro de hasta el 30% del CAPEX total gracias a la reutilización de infraestructuras críticas existentes:</w:t>
        <w:br/>
        <w:t>1. Subestaciones eléctricas de transporte (220/400 kV) y líneas de alta tensión con capacidad de acceso y conexión ya reservada.</w:t>
        <w:br/>
        <w:t>2. Concesiones hidrológicas de captación de agua para circuitos de refrigeración (ríos, embalses o mar).</w:t>
        <w:br/>
        <w:t>3. Infraestructura de transporte pesado: accesos ferroviarios de gran gálibo y muelles de descarga.</w:t>
        <w:br/>
        <w:t>4. Preservación del capital humano: recualificación del personal técnico especializado en operación de turbinas y ciclos de vapor.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left w:val="single" w:sz="24" w:space="0" w:color="0284C7"/>
              <w:top w:val="none"/>
              <w:right w:val="none"/>
              <w:bottom w:val="none"/>
            </w:tcBorders>
          </w:tcPr>
          <w:p>
            <w:pPr>
              <w:spacing w:before="0" w:after="80"/>
            </w:pPr>
            <w:r>
              <w:rPr>
                <w:rFonts w:ascii="Arial" w:hAnsi="Arial"/>
                <w:b/>
                <w:color w:val="0284C7"/>
                <w:sz w:val="20"/>
              </w:rPr>
              <w:t>■ CONTEXTO REGULATORIO Y POLÍTICA ENERGÉTICA EN ESPAÑA</w:t>
              <w:br/>
            </w:r>
            <w:r>
              <w:rPr>
                <w:rFonts w:ascii="Arial" w:hAnsi="Arial"/>
                <w:i/>
                <w:color w:val="1E293B"/>
                <w:sz w:val="19"/>
              </w:rPr>
              <w:t>Divergencia Estratégica en España: A diferencia de países de Europa del Este (Polonia, Chequia, Rumanía) que lideran la reconversión C2N, el Plan Nacional Integrado de Energía y Clima (PNIEC 2023-2030) del Gobierno de España ratifica el calendario de cierre ordenado y escalonado de las centrales nucleares comerciales en el periodo 2027-2035. La estrategia española de transición justa en nudos térmicos clausurados no contempla reactores nucleares, apostando de manera determinante por la hibridación de parques renovables y valles de hidrógeno verde mediante grandes electrolizadores (como el Valle Andaluz del Hidrógeno Verde promovido por Moeve en Palos de la Frontera, Huelva, y San Roque, con una potencia proyectada de 2.000 MW de electrólisis).</w:t>
            </w:r>
          </w:p>
        </w:tc>
      </w:tr>
    </w:tbl>
    <w:p>
      <w:pPr>
        <w:spacing w:before="0" w:after="120"/>
      </w:pPr>
    </w:p>
    <w:p>
      <w:r>
        <w:br w:type="page"/>
      </w:r>
    </w:p>
    <w:p>
      <w:pPr>
        <w:keepNext/>
        <w:spacing w:before="360" w:after="120"/>
      </w:pPr>
      <w:r>
        <w:rPr>
          <w:rFonts w:ascii="Arial" w:hAnsi="Arial"/>
          <w:b/>
          <w:color w:val="0F2C59"/>
          <w:sz w:val="28"/>
        </w:rPr>
        <w:t>6. Balance Medioambiental, Ciclo de Vida (ISO 14040/44) y Mitigación de CO₂</w:t>
      </w:r>
    </w:p>
    <w:p>
      <w:pPr>
        <w:spacing w:before="0" w:after="120" w:line="276" w:lineRule="auto"/>
      </w:pPr>
      <w:r>
        <w:rPr>
          <w:rFonts w:ascii="Arial" w:hAnsi="Arial"/>
          <w:color w:val="1E293B"/>
          <w:sz w:val="20"/>
        </w:rPr>
        <w:t>El Análisis de Ciclo de Vida (LCA) conforme a las normas internacionales ISO 14040 e ISO 14044 evalúa las emisiones de gases de efecto invernadero a lo largo de todas las etapas de la instalación: minería y extracción del mineral de uranio, conversión, enriquecimiento isotópico, fabricación del elemento combustible, construcción de la obra civil y componentes, operación durante 60 años, desmantelamiento final y gestión geológica de los residuos radiactivos.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3600"/>
            <w:shd w:fill="0F2C59"/>
            <w:tcMar>
              <w:top w:w="100" w:type="dxa"/>
              <w:bottom w:w="100" w:type="dxa"/>
              <w:left w:w="80" w:type="dxa"/>
              <w:right w:w="80" w:type="dxa"/>
            </w:tcMar>
          </w:tcPr>
          <w:p>
            <w:pPr>
              <w:jc w:val="left"/>
            </w:pPr>
            <w:r>
              <w:rPr>
                <w:rFonts w:ascii="Arial" w:hAnsi="Arial"/>
                <w:b/>
                <w:color w:val="FFFFFF"/>
                <w:sz w:val="17"/>
              </w:rPr>
              <w:t>Tecnología de Generación</w:t>
            </w:r>
          </w:p>
        </w:tc>
        <w:tc>
          <w:tcPr>
            <w:tcW w:type="dxa" w:w="2160"/>
            <w:shd w:fill="0F2C59"/>
            <w:tcMar>
              <w:top w:w="100" w:type="dxa"/>
              <w:bottom w:w="100" w:type="dxa"/>
              <w:left w:w="80" w:type="dxa"/>
              <w:right w:w="80" w:type="dxa"/>
            </w:tcMar>
          </w:tcPr>
          <w:p>
            <w:pPr>
              <w:jc w:val="right"/>
            </w:pPr>
            <w:r>
              <w:rPr>
                <w:rFonts w:ascii="Arial" w:hAnsi="Arial"/>
                <w:b/>
                <w:color w:val="FFFFFF"/>
                <w:sz w:val="17"/>
              </w:rPr>
              <w:t>Emisiones Ciclo de Vida</w:t>
            </w:r>
          </w:p>
        </w:tc>
        <w:tc>
          <w:tcPr>
            <w:tcW w:type="dxa" w:w="1728"/>
            <w:shd w:fill="0F2C59"/>
            <w:tcMar>
              <w:top w:w="100" w:type="dxa"/>
              <w:bottom w:w="100" w:type="dxa"/>
              <w:left w:w="80" w:type="dxa"/>
              <w:right w:w="80" w:type="dxa"/>
            </w:tcMar>
          </w:tcPr>
          <w:p>
            <w:pPr>
              <w:jc w:val="right"/>
            </w:pPr>
            <w:r>
              <w:rPr>
                <w:rFonts w:ascii="Arial" w:hAnsi="Arial"/>
                <w:b/>
                <w:color w:val="FFFFFF"/>
                <w:sz w:val="17"/>
              </w:rPr>
              <w:t>Factor Evitado vs SMR</w:t>
            </w:r>
          </w:p>
        </w:tc>
        <w:tc>
          <w:tcPr>
            <w:tcW w:type="dxa" w:w="1872"/>
            <w:shd w:fill="0F2C59"/>
            <w:tcMar>
              <w:top w:w="100" w:type="dxa"/>
              <w:bottom w:w="100" w:type="dxa"/>
              <w:left w:w="80" w:type="dxa"/>
              <w:right w:w="80" w:type="dxa"/>
            </w:tcMar>
          </w:tcPr>
          <w:p>
            <w:pPr>
              <w:jc w:val="right"/>
            </w:pPr>
            <w:r>
              <w:rPr>
                <w:rFonts w:ascii="Arial" w:hAnsi="Arial"/>
                <w:b/>
                <w:color w:val="FFFFFF"/>
                <w:sz w:val="17"/>
              </w:rPr>
              <w:t>CO₂ Evitado Anual (300 MWe)</w:t>
            </w:r>
          </w:p>
        </w:tc>
      </w:tr>
      <w:tr>
        <w:tc>
          <w:tcPr>
            <w:tcW w:type="dxa" w:w="3600"/>
            <w:shd w:fill="FFFFFF"/>
            <w:tcMar>
              <w:top w:w="80" w:type="dxa"/>
              <w:bottom w:w="80" w:type="dxa"/>
              <w:left w:w="80" w:type="dxa"/>
              <w:right w:w="80" w:type="dxa"/>
            </w:tcMar>
          </w:tcPr>
          <w:p>
            <w:pPr>
              <w:jc w:val="left"/>
            </w:pPr>
            <w:r>
              <w:rPr>
                <w:rFonts w:ascii="Arial" w:hAnsi="Arial"/>
                <w:b/>
                <w:color w:val="1E293B"/>
                <w:sz w:val="17"/>
              </w:rPr>
              <w:t>Central de Carbón (Hulla / Lignito)</w:t>
            </w:r>
          </w:p>
        </w:tc>
        <w:tc>
          <w:tcPr>
            <w:tcW w:type="dxa" w:w="2160"/>
            <w:shd w:fill="FFFFFF"/>
            <w:tcMar>
              <w:top w:w="80" w:type="dxa"/>
              <w:bottom w:w="80" w:type="dxa"/>
              <w:left w:w="80" w:type="dxa"/>
              <w:right w:w="80" w:type="dxa"/>
            </w:tcMar>
          </w:tcPr>
          <w:p>
            <w:pPr>
              <w:jc w:val="right"/>
            </w:pPr>
            <w:r>
              <w:rPr>
                <w:rFonts w:ascii="Arial" w:hAnsi="Arial"/>
                <w:color w:val="1E293B"/>
                <w:sz w:val="17"/>
              </w:rPr>
              <w:t>850 - 1.100 g CO₂/kWh</w:t>
            </w:r>
          </w:p>
        </w:tc>
        <w:tc>
          <w:tcPr>
            <w:tcW w:type="dxa" w:w="1728"/>
            <w:shd w:fill="FFFFFF"/>
            <w:tcMar>
              <w:top w:w="80" w:type="dxa"/>
              <w:bottom w:w="80" w:type="dxa"/>
              <w:left w:w="80" w:type="dxa"/>
              <w:right w:w="80" w:type="dxa"/>
            </w:tcMar>
          </w:tcPr>
          <w:p>
            <w:pPr>
              <w:jc w:val="right"/>
            </w:pPr>
            <w:r>
              <w:rPr>
                <w:rFonts w:ascii="Arial" w:hAnsi="Arial"/>
                <w:color w:val="1E293B"/>
                <w:sz w:val="17"/>
              </w:rPr>
              <w:t>~950 g CO₂/kWh</w:t>
            </w:r>
          </w:p>
        </w:tc>
        <w:tc>
          <w:tcPr>
            <w:tcW w:type="dxa" w:w="1872"/>
            <w:shd w:fill="FFFFFF"/>
            <w:tcMar>
              <w:top w:w="80" w:type="dxa"/>
              <w:bottom w:w="80" w:type="dxa"/>
              <w:left w:w="80" w:type="dxa"/>
              <w:right w:w="80" w:type="dxa"/>
            </w:tcMar>
          </w:tcPr>
          <w:p>
            <w:pPr>
              <w:jc w:val="right"/>
            </w:pPr>
            <w:r>
              <w:rPr>
                <w:rFonts w:ascii="Arial" w:hAnsi="Arial"/>
                <w:color w:val="1E293B"/>
                <w:sz w:val="17"/>
              </w:rPr>
              <w:t>2.300.000 t CO₂/año</w:t>
            </w:r>
          </w:p>
        </w:tc>
      </w:tr>
      <w:tr>
        <w:tc>
          <w:tcPr>
            <w:tcW w:type="dxa" w:w="3600"/>
            <w:shd w:fill="F8FAFC"/>
            <w:tcMar>
              <w:top w:w="80" w:type="dxa"/>
              <w:bottom w:w="80" w:type="dxa"/>
              <w:left w:w="80" w:type="dxa"/>
              <w:right w:w="80" w:type="dxa"/>
            </w:tcMar>
          </w:tcPr>
          <w:p>
            <w:pPr>
              <w:jc w:val="left"/>
            </w:pPr>
            <w:r>
              <w:rPr>
                <w:rFonts w:ascii="Arial" w:hAnsi="Arial"/>
                <w:b/>
                <w:color w:val="1E293B"/>
                <w:sz w:val="17"/>
              </w:rPr>
              <w:t>Ciclo Combinado de Gas Natural (CCGT)</w:t>
            </w:r>
          </w:p>
        </w:tc>
        <w:tc>
          <w:tcPr>
            <w:tcW w:type="dxa" w:w="2160"/>
            <w:shd w:fill="F8FAFC"/>
            <w:tcMar>
              <w:top w:w="80" w:type="dxa"/>
              <w:bottom w:w="80" w:type="dxa"/>
              <w:left w:w="80" w:type="dxa"/>
              <w:right w:w="80" w:type="dxa"/>
            </w:tcMar>
          </w:tcPr>
          <w:p>
            <w:pPr>
              <w:jc w:val="right"/>
            </w:pPr>
            <w:r>
              <w:rPr>
                <w:rFonts w:ascii="Arial" w:hAnsi="Arial"/>
                <w:color w:val="1E293B"/>
                <w:sz w:val="17"/>
              </w:rPr>
              <w:t>380 - 450 g CO₂/kWh</w:t>
            </w:r>
          </w:p>
        </w:tc>
        <w:tc>
          <w:tcPr>
            <w:tcW w:type="dxa" w:w="1728"/>
            <w:shd w:fill="F8FAFC"/>
            <w:tcMar>
              <w:top w:w="80" w:type="dxa"/>
              <w:bottom w:w="80" w:type="dxa"/>
              <w:left w:w="80" w:type="dxa"/>
              <w:right w:w="80" w:type="dxa"/>
            </w:tcMar>
          </w:tcPr>
          <w:p>
            <w:pPr>
              <w:jc w:val="right"/>
            </w:pPr>
            <w:r>
              <w:rPr>
                <w:rFonts w:ascii="Arial" w:hAnsi="Arial"/>
                <w:color w:val="1E293B"/>
                <w:sz w:val="17"/>
              </w:rPr>
              <w:t>~400 g CO₂/kWh</w:t>
            </w:r>
          </w:p>
        </w:tc>
        <w:tc>
          <w:tcPr>
            <w:tcW w:type="dxa" w:w="1872"/>
            <w:shd w:fill="F8FAFC"/>
            <w:tcMar>
              <w:top w:w="80" w:type="dxa"/>
              <w:bottom w:w="80" w:type="dxa"/>
              <w:left w:w="80" w:type="dxa"/>
              <w:right w:w="80" w:type="dxa"/>
            </w:tcMar>
          </w:tcPr>
          <w:p>
            <w:pPr>
              <w:jc w:val="right"/>
            </w:pPr>
            <w:r>
              <w:rPr>
                <w:rFonts w:ascii="Arial" w:hAnsi="Arial"/>
                <w:color w:val="1E293B"/>
                <w:sz w:val="17"/>
              </w:rPr>
              <w:t>967.000 t CO₂/año</w:t>
            </w:r>
          </w:p>
        </w:tc>
      </w:tr>
      <w:tr>
        <w:tc>
          <w:tcPr>
            <w:tcW w:type="dxa" w:w="3600"/>
            <w:shd w:fill="FFFFFF"/>
            <w:tcMar>
              <w:top w:w="80" w:type="dxa"/>
              <w:bottom w:w="80" w:type="dxa"/>
              <w:left w:w="80" w:type="dxa"/>
              <w:right w:w="80" w:type="dxa"/>
            </w:tcMar>
          </w:tcPr>
          <w:p>
            <w:pPr>
              <w:jc w:val="left"/>
            </w:pPr>
            <w:r>
              <w:rPr>
                <w:rFonts w:ascii="Arial" w:hAnsi="Arial"/>
                <w:b/>
                <w:color w:val="1E293B"/>
                <w:sz w:val="17"/>
              </w:rPr>
              <w:t>Mix Eléctrico Medio UE-27 (2024)</w:t>
            </w:r>
          </w:p>
        </w:tc>
        <w:tc>
          <w:tcPr>
            <w:tcW w:type="dxa" w:w="2160"/>
            <w:shd w:fill="FFFFFF"/>
            <w:tcMar>
              <w:top w:w="80" w:type="dxa"/>
              <w:bottom w:w="80" w:type="dxa"/>
              <w:left w:w="80" w:type="dxa"/>
              <w:right w:w="80" w:type="dxa"/>
            </w:tcMar>
          </w:tcPr>
          <w:p>
            <w:pPr>
              <w:jc w:val="right"/>
            </w:pPr>
            <w:r>
              <w:rPr>
                <w:rFonts w:ascii="Arial" w:hAnsi="Arial"/>
                <w:color w:val="1E293B"/>
                <w:sz w:val="17"/>
              </w:rPr>
              <w:t>220 - 260 g CO₂/kWh</w:t>
            </w:r>
          </w:p>
        </w:tc>
        <w:tc>
          <w:tcPr>
            <w:tcW w:type="dxa" w:w="1728"/>
            <w:shd w:fill="FFFFFF"/>
            <w:tcMar>
              <w:top w:w="80" w:type="dxa"/>
              <w:bottom w:w="80" w:type="dxa"/>
              <w:left w:w="80" w:type="dxa"/>
              <w:right w:w="80" w:type="dxa"/>
            </w:tcMar>
          </w:tcPr>
          <w:p>
            <w:pPr>
              <w:jc w:val="right"/>
            </w:pPr>
            <w:r>
              <w:rPr>
                <w:rFonts w:ascii="Arial" w:hAnsi="Arial"/>
                <w:color w:val="1E293B"/>
                <w:sz w:val="17"/>
              </w:rPr>
              <w:t>~240 g CO₂/kWh</w:t>
            </w:r>
          </w:p>
        </w:tc>
        <w:tc>
          <w:tcPr>
            <w:tcW w:type="dxa" w:w="1872"/>
            <w:shd w:fill="FFFFFF"/>
            <w:tcMar>
              <w:top w:w="80" w:type="dxa"/>
              <w:bottom w:w="80" w:type="dxa"/>
              <w:left w:w="80" w:type="dxa"/>
              <w:right w:w="80" w:type="dxa"/>
            </w:tcMar>
          </w:tcPr>
          <w:p>
            <w:pPr>
              <w:jc w:val="right"/>
            </w:pPr>
            <w:r>
              <w:rPr>
                <w:rFonts w:ascii="Arial" w:hAnsi="Arial"/>
                <w:color w:val="1E293B"/>
                <w:sz w:val="17"/>
              </w:rPr>
              <w:t>580.000 t CO₂/año</w:t>
            </w:r>
          </w:p>
        </w:tc>
      </w:tr>
      <w:tr>
        <w:tc>
          <w:tcPr>
            <w:tcW w:type="dxa" w:w="3600"/>
            <w:shd w:fill="F8FAFC"/>
            <w:tcMar>
              <w:top w:w="80" w:type="dxa"/>
              <w:bottom w:w="80" w:type="dxa"/>
              <w:left w:w="80" w:type="dxa"/>
              <w:right w:w="80" w:type="dxa"/>
            </w:tcMar>
          </w:tcPr>
          <w:p>
            <w:pPr>
              <w:jc w:val="left"/>
            </w:pPr>
            <w:r>
              <w:rPr>
                <w:rFonts w:ascii="Arial" w:hAnsi="Arial"/>
                <w:b/>
                <w:color w:val="1E293B"/>
                <w:sz w:val="17"/>
              </w:rPr>
              <w:t>Solar Fotovoltaica Gran Escala</w:t>
            </w:r>
          </w:p>
        </w:tc>
        <w:tc>
          <w:tcPr>
            <w:tcW w:type="dxa" w:w="2160"/>
            <w:shd w:fill="F8FAFC"/>
            <w:tcMar>
              <w:top w:w="80" w:type="dxa"/>
              <w:bottom w:w="80" w:type="dxa"/>
              <w:left w:w="80" w:type="dxa"/>
              <w:right w:w="80" w:type="dxa"/>
            </w:tcMar>
          </w:tcPr>
          <w:p>
            <w:pPr>
              <w:jc w:val="right"/>
            </w:pPr>
            <w:r>
              <w:rPr>
                <w:rFonts w:ascii="Arial" w:hAnsi="Arial"/>
                <w:color w:val="1E293B"/>
                <w:sz w:val="17"/>
              </w:rPr>
              <w:t>25 - 45 g CO₂/kWh</w:t>
            </w:r>
          </w:p>
        </w:tc>
        <w:tc>
          <w:tcPr>
            <w:tcW w:type="dxa" w:w="1728"/>
            <w:shd w:fill="F8FAFC"/>
            <w:tcMar>
              <w:top w:w="80" w:type="dxa"/>
              <w:bottom w:w="80" w:type="dxa"/>
              <w:left w:w="80" w:type="dxa"/>
              <w:right w:w="80" w:type="dxa"/>
            </w:tcMar>
          </w:tcPr>
          <w:p>
            <w:pPr>
              <w:jc w:val="right"/>
            </w:pPr>
            <w:r>
              <w:rPr>
                <w:rFonts w:ascii="Arial" w:hAnsi="Arial"/>
                <w:color w:val="1E293B"/>
                <w:sz w:val="17"/>
              </w:rPr>
              <w:t>~30 g CO₂/kWh</w:t>
            </w:r>
          </w:p>
        </w:tc>
        <w:tc>
          <w:tcPr>
            <w:tcW w:type="dxa" w:w="1872"/>
            <w:shd w:fill="F8FAFC"/>
            <w:tcMar>
              <w:top w:w="80" w:type="dxa"/>
              <w:bottom w:w="80" w:type="dxa"/>
              <w:left w:w="80" w:type="dxa"/>
              <w:right w:w="80" w:type="dxa"/>
            </w:tcMar>
          </w:tcPr>
          <w:p>
            <w:pPr>
              <w:jc w:val="right"/>
            </w:pPr>
            <w:r>
              <w:rPr>
                <w:rFonts w:ascii="Arial" w:hAnsi="Arial"/>
                <w:color w:val="1E293B"/>
                <w:sz w:val="17"/>
              </w:rPr>
              <w:t>72.000 t CO₂/año</w:t>
            </w:r>
          </w:p>
        </w:tc>
      </w:tr>
      <w:tr>
        <w:tc>
          <w:tcPr>
            <w:tcW w:type="dxa" w:w="3600"/>
            <w:shd w:fill="E0F2FE"/>
            <w:tcMar>
              <w:top w:w="80" w:type="dxa"/>
              <w:bottom w:w="80" w:type="dxa"/>
              <w:left w:w="80" w:type="dxa"/>
              <w:right w:w="80" w:type="dxa"/>
            </w:tcMar>
          </w:tcPr>
          <w:p>
            <w:pPr>
              <w:jc w:val="left"/>
            </w:pPr>
            <w:r>
              <w:rPr>
                <w:rFonts w:ascii="Arial" w:hAnsi="Arial"/>
                <w:b/>
                <w:color w:val="0284C7"/>
                <w:sz w:val="17"/>
              </w:rPr>
              <w:t>Reactor SMR (BWRX-300 / Nuward)</w:t>
            </w:r>
          </w:p>
        </w:tc>
        <w:tc>
          <w:tcPr>
            <w:tcW w:type="dxa" w:w="2160"/>
            <w:shd w:fill="E0F2FE"/>
            <w:tcMar>
              <w:top w:w="80" w:type="dxa"/>
              <w:bottom w:w="80" w:type="dxa"/>
              <w:left w:w="80" w:type="dxa"/>
              <w:right w:w="80" w:type="dxa"/>
            </w:tcMar>
          </w:tcPr>
          <w:p>
            <w:pPr>
              <w:jc w:val="right"/>
            </w:pPr>
            <w:r>
              <w:rPr>
                <w:rFonts w:ascii="Arial" w:hAnsi="Arial"/>
                <w:b/>
                <w:color w:val="0284C7"/>
                <w:sz w:val="17"/>
              </w:rPr>
              <w:t>5 - 12 g CO₂/kWh</w:t>
            </w:r>
          </w:p>
        </w:tc>
        <w:tc>
          <w:tcPr>
            <w:tcW w:type="dxa" w:w="1728"/>
            <w:shd w:fill="E0F2FE"/>
            <w:tcMar>
              <w:top w:w="80" w:type="dxa"/>
              <w:bottom w:w="80" w:type="dxa"/>
              <w:left w:w="80" w:type="dxa"/>
              <w:right w:w="80" w:type="dxa"/>
            </w:tcMar>
          </w:tcPr>
          <w:p>
            <w:pPr>
              <w:jc w:val="right"/>
            </w:pPr>
            <w:r>
              <w:rPr>
                <w:rFonts w:ascii="Arial" w:hAnsi="Arial"/>
                <w:b/>
                <w:color w:val="0284C7"/>
                <w:sz w:val="17"/>
              </w:rPr>
              <w:t>Referencia Base</w:t>
            </w:r>
          </w:p>
        </w:tc>
        <w:tc>
          <w:tcPr>
            <w:tcW w:type="dxa" w:w="1872"/>
            <w:shd w:fill="E0F2FE"/>
            <w:tcMar>
              <w:top w:w="80" w:type="dxa"/>
              <w:bottom w:w="80" w:type="dxa"/>
              <w:left w:w="80" w:type="dxa"/>
              <w:right w:w="80" w:type="dxa"/>
            </w:tcMar>
          </w:tcPr>
          <w:p>
            <w:pPr>
              <w:jc w:val="right"/>
            </w:pPr>
            <w:r>
              <w:rPr>
                <w:rFonts w:ascii="Arial" w:hAnsi="Arial"/>
                <w:b/>
                <w:color w:val="0284C7"/>
                <w:sz w:val="17"/>
              </w:rPr>
              <w:t>Línea de Base Limpia</w:t>
            </w:r>
          </w:p>
        </w:tc>
      </w:tr>
    </w:tbl>
    <w:p>
      <w:pPr>
        <w:spacing w:before="80" w:after="240"/>
      </w:pPr>
      <w:r>
        <w:rPr>
          <w:rFonts w:ascii="Arial" w:hAnsi="Arial"/>
          <w:i/>
          <w:color w:val="64748B"/>
          <w:sz w:val="16"/>
        </w:rPr>
        <w:t>Tabla 4: Huella de carbono de ciclo de vida (LCA) y cuantificación de emisiones evitadas para una unidad SMR típica de 300 MWe (generación anual: 2.417 GWh). Fuente: UNECE (2022) e IPCC.</w:t>
      </w:r>
    </w:p>
    <w:p>
      <w:pPr>
        <w:spacing w:before="0" w:after="120" w:line="276" w:lineRule="auto"/>
      </w:pPr>
      <w:r>
        <w:rPr>
          <w:rFonts w:ascii="Arial" w:hAnsi="Arial"/>
          <w:color w:val="1E293B"/>
          <w:sz w:val="20"/>
        </w:rPr>
        <w:t>A lo largo de sus 60 años de vida de diseño, un único módulo de 300 MWe evita de forma acumulada la emisión a la atmósfera de:</w:t>
        <w:br/>
        <w:t>• Más de 138 millones de toneladas de CO₂ frente a una central térmica equivalente de carbón.</w:t>
        <w:br/>
        <w:t>• Más de 58 millones de toneladas de CO₂ frente a un ciclo combinado de gas natural de última generación.</w:t>
        <w:br/>
        <w:br/>
        <w:t>Gestión de Residuos Radiactivos de Alta Actividad: Los SMRs generan volúmenes de combustible gastado comparables por megavatio-hora a los reactores grandes (3-4 m³ anuales por cada 1.000 MWe equivalentes). Su gestión definitiva se alinea plenamente con los proyectos de Almacenamiento Geológico Profundo (AGP / DGR) en formaciones de roca cristalina o arcilla ya licenciados y en fase de construcción en Onkalo (Finlandia) y Forsmark (Suecia), garantizando el confinamiento pasivo durante cientos de miles de años.</w:t>
      </w:r>
    </w:p>
    <w:p>
      <w:r>
        <w:br w:type="page"/>
      </w:r>
    </w:p>
    <w:p>
      <w:pPr>
        <w:keepNext/>
        <w:spacing w:before="360" w:after="120"/>
      </w:pPr>
      <w:r>
        <w:rPr>
          <w:rFonts w:ascii="Arial" w:hAnsi="Arial"/>
          <w:b/>
          <w:color w:val="0F2C59"/>
          <w:sz w:val="28"/>
        </w:rPr>
        <w:t>7. Conclusiones y Recomendaciones Estratégicas de Ingeniería</w:t>
      </w:r>
    </w:p>
    <w:p>
      <w:pPr>
        <w:spacing w:before="80" w:after="120" w:line="276" w:lineRule="auto"/>
      </w:pPr>
      <w:r>
        <w:rPr>
          <w:rFonts w:ascii="Arial" w:hAnsi="Arial"/>
          <w:b/>
          <w:color w:val="0F2C59"/>
          <w:sz w:val="20"/>
        </w:rPr>
        <w:t>1. Transformación de Megaproyectos en Productos Industriales Seriados:</w:t>
        <w:br/>
      </w:r>
      <w:r>
        <w:rPr>
          <w:rFonts w:ascii="Arial" w:hAnsi="Arial"/>
          <w:color w:val="1E293B"/>
          <w:sz w:val="19"/>
        </w:rPr>
        <w:t xml:space="preserve"> La modularidad y la fabricación estandarizada en taller resuelven el talón de Aquiles de la energía nuclear histórica: la acumulación astronómica de intereses durante la construcción (IDC) y la insolvencia de promotores por sobrecostes imprevistos. La reducción del plazo de obra a 36-48 meses es la variable más determinante para la viabilidad económica del sector.</w:t>
      </w:r>
    </w:p>
    <w:p>
      <w:pPr>
        <w:spacing w:before="80" w:after="120" w:line="276" w:lineRule="auto"/>
      </w:pPr>
      <w:r>
        <w:rPr>
          <w:rFonts w:ascii="Arial" w:hAnsi="Arial"/>
          <w:b/>
          <w:color w:val="0F2C59"/>
          <w:sz w:val="20"/>
        </w:rPr>
        <w:t>2. El Coste de Capital (WACC) es el Parámetro Decisorio:</w:t>
        <w:br/>
      </w:r>
      <w:r>
        <w:rPr>
          <w:rFonts w:ascii="Arial" w:hAnsi="Arial"/>
          <w:color w:val="1E293B"/>
          <w:sz w:val="19"/>
        </w:rPr>
        <w:t xml:space="preserve"> El análisis de sensibilidad demuestra que el LCOE del SMR oscila entre 54 €/MWh con financiación regulada (WACC 4%) y más de 105 €/MWh en régimen de mercado liberalizado a riesgo pool (WACC 10%). La estructuración de modelos regulatorios contrastados (Two-way CfDs, RAB o contratos PPA corporativos a largo plazo) resulta obligada para viabilizar las decisiones finales de inversión (FID).</w:t>
      </w:r>
    </w:p>
    <w:p>
      <w:pPr>
        <w:spacing w:before="80" w:after="120" w:line="276" w:lineRule="auto"/>
      </w:pPr>
      <w:r>
        <w:rPr>
          <w:rFonts w:ascii="Arial" w:hAnsi="Arial"/>
          <w:b/>
          <w:color w:val="0F2C59"/>
          <w:sz w:val="20"/>
        </w:rPr>
        <w:t>3. Indispensabilidad para la Estabilidad de Red y la Transición Renovable:</w:t>
        <w:br/>
      </w:r>
      <w:r>
        <w:rPr>
          <w:rFonts w:ascii="Arial" w:hAnsi="Arial"/>
          <w:color w:val="1E293B"/>
          <w:sz w:val="19"/>
        </w:rPr>
        <w:t xml:space="preserve"> Los SMRs no deben concebirse como competidores de las energías solar y eólica, sino como su complemento síncrono óptimo. Aportan inercia física real, control de tensión, capacidad de modulación de carga (5% Pn/min) y mitigación del RoCoF, evitando sobredimensionar la red de transporte y los sistemas de almacenamiento por baterías electroquímicas de corta duración.</w:t>
      </w:r>
    </w:p>
    <w:p>
      <w:pPr>
        <w:spacing w:before="80" w:after="120" w:line="276" w:lineRule="auto"/>
      </w:pPr>
      <w:r>
        <w:rPr>
          <w:rFonts w:ascii="Arial" w:hAnsi="Arial"/>
          <w:b/>
          <w:color w:val="0F2C59"/>
          <w:sz w:val="20"/>
        </w:rPr>
        <w:t>4. Desbloqueo del Sector Térmico mediante Acoplamiento Sectorial:</w:t>
        <w:br/>
      </w:r>
      <w:r>
        <w:rPr>
          <w:rFonts w:ascii="Arial" w:hAnsi="Arial"/>
          <w:color w:val="1E293B"/>
          <w:sz w:val="19"/>
        </w:rPr>
        <w:t xml:space="preserve"> El potencial más disruptivo de los SMRs en la Unión Europea radica en el suministro de calor de alta temperatura (300 °C - 750 °C) para la industria química pesada, las redes distritales de calor urbano y la producción de hidrógeno limpio mediante electrólisis SOEC con eficiencias &gt;85%.</w:t>
      </w:r>
    </w:p>
    <w:p>
      <w:pPr>
        <w:spacing w:before="80" w:after="120" w:line="276" w:lineRule="auto"/>
      </w:pPr>
      <w:r>
        <w:rPr>
          <w:rFonts w:ascii="Arial" w:hAnsi="Arial"/>
          <w:b/>
          <w:color w:val="0F2C59"/>
          <w:sz w:val="20"/>
        </w:rPr>
        <w:t>5. Oportunidad Estratégica Europea:</w:t>
        <w:br/>
      </w:r>
      <w:r>
        <w:rPr>
          <w:rFonts w:ascii="Arial" w:hAnsi="Arial"/>
          <w:color w:val="1E293B"/>
          <w:sz w:val="19"/>
        </w:rPr>
        <w:t xml:space="preserve"> A través de la Alianza Industrial sobre SMRs, Europa dispone de una ventana de oportunidad crítica para unificar los estándares de licenciamiento entre los reguladores nucleares nacionales (WENRA/ENSREG) y revitalizar sus regiones carboneras mediante proyectos Coal-to-Nuclear de transición justa.</w:t>
      </w:r>
    </w:p>
    <w:p>
      <w:r>
        <w:br w:type="page"/>
      </w:r>
    </w:p>
    <w:p>
      <w:pPr>
        <w:keepNext/>
        <w:spacing w:before="360" w:after="120"/>
      </w:pPr>
      <w:r>
        <w:rPr>
          <w:rFonts w:ascii="Arial" w:hAnsi="Arial"/>
          <w:b/>
          <w:color w:val="0F2C59"/>
          <w:sz w:val="28"/>
        </w:rPr>
        <w:t>8. Fuentes Oficiales y Referencias Bibliográficas</w:t>
      </w:r>
    </w:p>
    <w:p>
      <w:pPr>
        <w:pStyle w:val="ListBullet"/>
        <w:spacing w:before="40" w:after="80" w:line="276" w:lineRule="auto"/>
      </w:pPr>
      <w:r>
        <w:rPr>
          <w:rFonts w:ascii="Arial" w:hAnsi="Arial"/>
          <w:color w:val="334155"/>
          <w:sz w:val="17"/>
        </w:rPr>
        <w:t>Comisión Europea (2024). European Industrial Alliance on Small Modular Reactors: Strategic Action Plan and Working Groups Terms of Reference. Directorate-General for Energy (DG ENER), Bruselas.</w:t>
      </w:r>
    </w:p>
    <w:p>
      <w:pPr>
        <w:pStyle w:val="ListBullet"/>
        <w:spacing w:before="40" w:after="80" w:line="276" w:lineRule="auto"/>
      </w:pPr>
      <w:r>
        <w:rPr>
          <w:rFonts w:ascii="Arial" w:hAnsi="Arial"/>
          <w:color w:val="334155"/>
          <w:sz w:val="17"/>
        </w:rPr>
        <w:t>Comisión Europea (2024). Securing our future: Europe's 2040 climate target and path to climate neutrality by 2050. COM(2024) 63 final, Bruselas.</w:t>
      </w:r>
    </w:p>
    <w:p>
      <w:pPr>
        <w:pStyle w:val="ListBullet"/>
        <w:spacing w:before="40" w:after="80" w:line="276" w:lineRule="auto"/>
      </w:pPr>
      <w:r>
        <w:rPr>
          <w:rFonts w:ascii="Arial" w:hAnsi="Arial"/>
          <w:color w:val="334155"/>
          <w:sz w:val="17"/>
        </w:rPr>
        <w:t>Organismo Internacional de Energía Atómica - IAEA (2024). Advances in Small Modular Reactor Technology Developments. IAEA Advanced Reactors Information System (ARIS), Viena.</w:t>
      </w:r>
    </w:p>
    <w:p>
      <w:pPr>
        <w:pStyle w:val="ListBullet"/>
        <w:spacing w:before="40" w:after="80" w:line="276" w:lineRule="auto"/>
      </w:pPr>
      <w:r>
        <w:rPr>
          <w:rFonts w:ascii="Arial" w:hAnsi="Arial"/>
          <w:color w:val="334155"/>
          <w:sz w:val="17"/>
        </w:rPr>
        <w:t>Agencia para la Energía Nuclear de la OCDE - OECD-NEA (2024). The NEA Small Modular Reactor Dashboard: Volume II. Nuclear Energy Agency, OECD Publishing, París.</w:t>
      </w:r>
    </w:p>
    <w:p>
      <w:pPr>
        <w:pStyle w:val="ListBullet"/>
        <w:spacing w:before="40" w:after="80" w:line="276" w:lineRule="auto"/>
      </w:pPr>
      <w:r>
        <w:rPr>
          <w:rFonts w:ascii="Arial" w:hAnsi="Arial"/>
          <w:color w:val="334155"/>
          <w:sz w:val="17"/>
        </w:rPr>
        <w:t>Electric Power Research Institute - EPRI (2023). Small Modular Reactor Utility Requirements Document (URD) and Cost Structure Methodology. Palo Alto, California.</w:t>
      </w:r>
    </w:p>
    <w:p>
      <w:pPr>
        <w:pStyle w:val="ListBullet"/>
        <w:spacing w:before="40" w:after="80" w:line="276" w:lineRule="auto"/>
      </w:pPr>
      <w:r>
        <w:rPr>
          <w:rFonts w:ascii="Arial" w:hAnsi="Arial"/>
          <w:color w:val="334155"/>
          <w:sz w:val="17"/>
        </w:rPr>
        <w:t>World Nuclear Association - WNA (2024). World Nuclear Performance Report 2024: Drivers and Deployment Models for Small Modular Reactors. Londres.</w:t>
      </w:r>
    </w:p>
    <w:p>
      <w:pPr>
        <w:pStyle w:val="ListBullet"/>
        <w:spacing w:before="40" w:after="80" w:line="276" w:lineRule="auto"/>
      </w:pPr>
      <w:r>
        <w:rPr>
          <w:rFonts w:ascii="Arial" w:hAnsi="Arial"/>
          <w:color w:val="334155"/>
          <w:sz w:val="17"/>
        </w:rPr>
        <w:t>Lazard (2024). Lazard's Levelized Cost of Energy Analysis - Version 17.0. Lazard Global Power, Energy &amp; Infrastructure Group, Nueva York.</w:t>
      </w:r>
    </w:p>
    <w:p>
      <w:pPr>
        <w:pStyle w:val="ListBullet"/>
        <w:spacing w:before="40" w:after="80" w:line="276" w:lineRule="auto"/>
      </w:pPr>
      <w:r>
        <w:rPr>
          <w:rFonts w:ascii="Arial" w:hAnsi="Arial"/>
          <w:color w:val="334155"/>
          <w:sz w:val="17"/>
        </w:rPr>
        <w:t>Red Eléctrica de España / ENTSO-E (2023). System Inertia and Rate of Change of Frequency (RoCoF) in Future European Systems. Technical Working Document.</w:t>
      </w:r>
    </w:p>
    <w:p>
      <w:pPr>
        <w:pStyle w:val="ListBullet"/>
        <w:spacing w:before="40" w:after="80" w:line="276" w:lineRule="auto"/>
      </w:pPr>
      <w:r>
        <w:rPr>
          <w:rFonts w:ascii="Arial" w:hAnsi="Arial"/>
          <w:color w:val="334155"/>
          <w:sz w:val="17"/>
        </w:rPr>
        <w:t>Ministerio para la Transición Ecológica y el Reto Demográfico - MITECO (2023). Actualización del Plan Nacional Integrado de Energía y Clima (PNIEC 2023-2030). Gobierno de España, Madrid.</w:t>
      </w:r>
    </w:p>
    <w:p>
      <w:pPr>
        <w:pStyle w:val="ListBullet"/>
        <w:spacing w:before="40" w:after="80" w:line="276" w:lineRule="auto"/>
      </w:pPr>
      <w:r>
        <w:rPr>
          <w:rFonts w:ascii="Arial" w:hAnsi="Arial"/>
          <w:color w:val="334155"/>
          <w:sz w:val="17"/>
        </w:rPr>
        <w:t>Comisión Nacional de los Mercados y la Competencia - CNMC (2024). Informe de Supervisión del Mercado Eléctrico Mayorista y Mecanismos de Ajuste del Sistema. Madrid.</w:t>
      </w:r>
    </w:p>
    <w:p>
      <w:r>
        <w:br w:type="page"/>
      </w:r>
    </w:p>
    <w:p>
      <w:pPr>
        <w:keepNext/>
        <w:spacing w:before="360" w:after="120"/>
      </w:pPr>
      <w:r>
        <w:rPr>
          <w:rFonts w:ascii="Arial" w:hAnsi="Arial"/>
          <w:b/>
          <w:color w:val="0F2C59"/>
          <w:sz w:val="28"/>
        </w:rPr>
        <w:t>9. Diligencia de Visado y Certificación del Proyecto de Ingeniería</w:t>
      </w:r>
    </w:p>
    <w:p>
      <w:pPr>
        <w:spacing w:before="0" w:after="120" w:line="276" w:lineRule="auto"/>
      </w:pPr>
      <w:r>
        <w:rPr>
          <w:rFonts w:ascii="Arial" w:hAnsi="Arial"/>
          <w:color w:val="1E293B"/>
          <w:sz w:val="20"/>
        </w:rPr>
        <w:t>Por la presente diligencia, los ingenieros redactores abajo firmantes certifican la veracidad, rigor técnico-económico, consistencia metodológica y originalidad de la investigación contenida en la presente Memoria Oficial, desarrollada en el marco de la asignatura Economía de los Sistemas Energéticos de la Escuela de Ingenierías Industriales (Universidad de Valladolid).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096"/>
            <w:shd w:fill="FAFAFA"/>
            <w:tcMar>
              <w:top w:w="200" w:type="dxa"/>
              <w:bottom w:w="100" w:type="dxa"/>
              <w:left w:w="80" w:type="dxa"/>
              <w:right w:w="80" w:type="dxa"/>
            </w:tcMar>
          </w:tcPr>
          <w:p>
            <w:pPr>
              <w:jc w:val="center"/>
            </w:pPr>
            <w:r>
              <w:rPr>
                <w:rFonts w:ascii="Arial" w:hAnsi="Arial"/>
                <w:i/>
                <w:color w:val="94A3B8"/>
                <w:sz w:val="17"/>
              </w:rPr>
              <w:br/>
              <w:br/>
              <w:t>[ FIRMA DIGITALIZADA ]</w:t>
              <w:br/>
            </w:r>
          </w:p>
        </w:tc>
        <w:tc>
          <w:tcPr>
            <w:tcW w:type="dxa" w:w="3096"/>
            <w:shd w:fill="FAFAFA"/>
            <w:tcMar>
              <w:top w:w="200" w:type="dxa"/>
              <w:bottom w:w="100" w:type="dxa"/>
              <w:left w:w="80" w:type="dxa"/>
              <w:right w:w="80" w:type="dxa"/>
            </w:tcMar>
          </w:tcPr>
          <w:p>
            <w:pPr>
              <w:jc w:val="center"/>
            </w:pPr>
            <w:r>
              <w:rPr>
                <w:rFonts w:ascii="Arial" w:hAnsi="Arial"/>
                <w:i/>
                <w:color w:val="94A3B8"/>
                <w:sz w:val="17"/>
              </w:rPr>
              <w:br/>
              <w:br/>
              <w:t>[ FIRMA DIGITALIZADA ]</w:t>
              <w:br/>
            </w:r>
          </w:p>
        </w:tc>
        <w:tc>
          <w:tcPr>
            <w:tcW w:type="dxa" w:w="3096"/>
            <w:shd w:fill="FAFAFA"/>
            <w:tcMar>
              <w:top w:w="200" w:type="dxa"/>
              <w:bottom w:w="100" w:type="dxa"/>
              <w:left w:w="80" w:type="dxa"/>
              <w:right w:w="80" w:type="dxa"/>
            </w:tcMar>
          </w:tcPr>
          <w:p>
            <w:pPr>
              <w:jc w:val="center"/>
            </w:pPr>
            <w:r>
              <w:rPr>
                <w:rFonts w:ascii="Arial" w:hAnsi="Arial"/>
                <w:i/>
                <w:color w:val="94A3B8"/>
                <w:sz w:val="17"/>
              </w:rPr>
              <w:br/>
              <w:br/>
              <w:t>[ FIRMA DIGITALIZADA ]</w:t>
              <w:br/>
            </w:r>
          </w:p>
        </w:tc>
      </w:tr>
      <w:tr>
        <w:tc>
          <w:tcPr>
            <w:tcW w:type="dxa" w:w="3096"/>
            <w:shd w:fill="F1F5F9"/>
            <w:tcMar>
              <w:top w:w="80" w:type="dxa"/>
              <w:bottom w:w="80" w:type="dxa"/>
              <w:left w:w="80" w:type="dxa"/>
              <w:right w:w="80" w:type="dxa"/>
            </w:tcMar>
          </w:tcPr>
          <w:p>
            <w:pPr>
              <w:jc w:val="center"/>
            </w:pPr>
            <w:r>
              <w:rPr>
                <w:rFonts w:ascii="Arial" w:hAnsi="Arial"/>
                <w:b/>
                <w:color w:val="0F2C59"/>
                <w:sz w:val="19"/>
              </w:rPr>
              <w:t>Javier García Cuñado</w:t>
              <w:br/>
            </w:r>
            <w:r>
              <w:rPr>
                <w:rFonts w:ascii="Arial" w:hAnsi="Arial"/>
                <w:color w:val="475569"/>
                <w:sz w:val="16"/>
              </w:rPr>
              <w:t>Ingeniero Redactor · Modelización LCOE</w:t>
              <w:br/>
              <w:t>Grado en Ingeniería Energética (UVa)</w:t>
            </w:r>
          </w:p>
        </w:tc>
        <w:tc>
          <w:tcPr>
            <w:tcW w:type="dxa" w:w="3096"/>
            <w:shd w:fill="F1F5F9"/>
            <w:tcMar>
              <w:top w:w="80" w:type="dxa"/>
              <w:bottom w:w="80" w:type="dxa"/>
              <w:left w:w="80" w:type="dxa"/>
              <w:right w:w="80" w:type="dxa"/>
            </w:tcMar>
          </w:tcPr>
          <w:p>
            <w:pPr>
              <w:jc w:val="center"/>
            </w:pPr>
            <w:r>
              <w:rPr>
                <w:rFonts w:ascii="Arial" w:hAnsi="Arial"/>
                <w:b/>
                <w:color w:val="0F2C59"/>
                <w:sz w:val="19"/>
              </w:rPr>
              <w:t>Carlos Moreno Gutiérrez</w:t>
              <w:br/>
            </w:r>
            <w:r>
              <w:rPr>
                <w:rFonts w:ascii="Arial" w:hAnsi="Arial"/>
                <w:color w:val="475569"/>
                <w:sz w:val="16"/>
              </w:rPr>
              <w:t>Ingeniero Redactor · Mercado &amp; Integración</w:t>
              <w:br/>
              <w:t>Grado en Ingeniería Energética (UVa)</w:t>
            </w:r>
          </w:p>
        </w:tc>
        <w:tc>
          <w:tcPr>
            <w:tcW w:type="dxa" w:w="3096"/>
            <w:shd w:fill="F1F5F9"/>
            <w:tcMar>
              <w:top w:w="80" w:type="dxa"/>
              <w:bottom w:w="80" w:type="dxa"/>
              <w:left w:w="80" w:type="dxa"/>
              <w:right w:w="80" w:type="dxa"/>
            </w:tcMar>
          </w:tcPr>
          <w:p>
            <w:pPr>
              <w:jc w:val="center"/>
            </w:pPr>
            <w:r>
              <w:rPr>
                <w:rFonts w:ascii="Arial" w:hAnsi="Arial"/>
                <w:b/>
                <w:color w:val="0F2C59"/>
                <w:sz w:val="19"/>
              </w:rPr>
              <w:t>Jorge Seco García</w:t>
              <w:br/>
            </w:r>
            <w:r>
              <w:rPr>
                <w:rFonts w:ascii="Arial" w:hAnsi="Arial"/>
                <w:color w:val="475569"/>
                <w:sz w:val="16"/>
              </w:rPr>
              <w:t>Ingeniero Redactor · Fichas Técnicas &amp; SMRs</w:t>
              <w:br/>
              <w:t>Grado en Ingeniería Energética (UVa)</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Documento Oficial de Investigación Técnico-Económica · Convocatoria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UVa · Escuela de Ingenierías Industriales · Economía de los Sistemas Energéticos | Memoria SMR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