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2F9" w:rsidRDefault="00E032F9" w:rsidP="00E032F9">
      <w:pPr>
        <w:jc w:val="center"/>
        <w:rPr>
          <w:noProof/>
        </w:rPr>
      </w:pPr>
      <w:r>
        <w:rPr>
          <w:noProof/>
        </w:rPr>
        <w:t>Frameworks de la Gestion de Requerimientos</w:t>
      </w: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r>
        <w:rPr>
          <w:noProof/>
        </w:rPr>
        <w:t>Presentado por:</w:t>
      </w:r>
    </w:p>
    <w:p w:rsidR="00E032F9" w:rsidRDefault="00E032F9" w:rsidP="00E032F9">
      <w:pPr>
        <w:jc w:val="center"/>
        <w:rPr>
          <w:noProof/>
        </w:rPr>
      </w:pPr>
      <w:r>
        <w:rPr>
          <w:noProof/>
        </w:rPr>
        <w:t xml:space="preserve">Carlos Eduardo Monroy Guzman </w:t>
      </w: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r>
        <w:rPr>
          <w:noProof/>
        </w:rPr>
        <w:t>Presentrado A:</w:t>
      </w:r>
    </w:p>
    <w:p w:rsidR="00E032F9" w:rsidRDefault="00E032F9" w:rsidP="00E032F9">
      <w:pPr>
        <w:jc w:val="center"/>
        <w:rPr>
          <w:noProof/>
        </w:rPr>
      </w:pPr>
      <w:r>
        <w:rPr>
          <w:noProof/>
        </w:rPr>
        <w:t xml:space="preserve">Ing. </w:t>
      </w:r>
      <w:r>
        <w:rPr>
          <w:noProof/>
        </w:rPr>
        <w:t xml:space="preserve">Harold Adrian Bolaños Rodrguez </w:t>
      </w: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p>
    <w:p w:rsidR="00E032F9" w:rsidRDefault="00E032F9" w:rsidP="00E032F9">
      <w:pPr>
        <w:jc w:val="center"/>
        <w:rPr>
          <w:noProof/>
        </w:rPr>
      </w:pPr>
      <w:r>
        <w:rPr>
          <w:noProof/>
        </w:rPr>
        <w:t xml:space="preserve">Universidad Cooperativa de Colombia </w:t>
      </w:r>
    </w:p>
    <w:p w:rsidR="00E032F9" w:rsidRDefault="00E032F9" w:rsidP="00E032F9">
      <w:pPr>
        <w:jc w:val="center"/>
        <w:rPr>
          <w:noProof/>
        </w:rPr>
      </w:pPr>
      <w:r>
        <w:rPr>
          <w:noProof/>
        </w:rPr>
        <w:t xml:space="preserve">Facultad ingenierias </w:t>
      </w:r>
    </w:p>
    <w:p w:rsidR="00E032F9" w:rsidRDefault="00E032F9" w:rsidP="00E032F9">
      <w:pPr>
        <w:jc w:val="center"/>
        <w:rPr>
          <w:noProof/>
        </w:rPr>
      </w:pPr>
      <w:r>
        <w:rPr>
          <w:noProof/>
        </w:rPr>
        <w:t>Campus Villavicencio</w:t>
      </w:r>
    </w:p>
    <w:p w:rsidR="00E032F9" w:rsidRPr="001016B3" w:rsidRDefault="00E032F9" w:rsidP="00E032F9">
      <w:pPr>
        <w:jc w:val="center"/>
        <w:rPr>
          <w:noProof/>
        </w:rPr>
      </w:pPr>
      <w:r>
        <w:rPr>
          <w:noProof/>
        </w:rPr>
        <w:t>2020</w:t>
      </w:r>
    </w:p>
    <w:p w:rsidR="004B5F77" w:rsidRDefault="004B5F77" w:rsidP="00E032F9">
      <w:pPr>
        <w:rPr>
          <w:rFonts w:eastAsia="Times New Roman"/>
          <w:lang w:eastAsia="es-CO"/>
        </w:rPr>
      </w:pPr>
    </w:p>
    <w:p w:rsidR="00980CE5" w:rsidRDefault="00980CE5" w:rsidP="00E032F9">
      <w:r>
        <w:t>E</w:t>
      </w:r>
      <w:r>
        <w:t>xisten numerosas </w:t>
      </w:r>
      <w:r>
        <w:rPr>
          <w:rStyle w:val="Textoennegrita"/>
          <w:rFonts w:ascii="Arial" w:hAnsi="Arial" w:cs="Arial"/>
          <w:color w:val="202020"/>
          <w:sz w:val="21"/>
          <w:szCs w:val="21"/>
        </w:rPr>
        <w:t>metodologías, estándares y normas</w:t>
      </w:r>
      <w:r>
        <w:t> en el ámbito de la </w:t>
      </w:r>
      <w:r>
        <w:rPr>
          <w:rStyle w:val="Textoennegrita"/>
          <w:rFonts w:ascii="Arial" w:hAnsi="Arial" w:cs="Arial"/>
          <w:color w:val="202020"/>
          <w:sz w:val="21"/>
          <w:szCs w:val="21"/>
        </w:rPr>
        <w:t>gestión de requisitos</w:t>
      </w:r>
      <w:r>
        <w:t>. Algunas de las normas más conocidas son: </w:t>
      </w:r>
      <w:r>
        <w:rPr>
          <w:rStyle w:val="Textoennegrita"/>
          <w:rFonts w:ascii="Arial" w:hAnsi="Arial" w:cs="Arial"/>
          <w:color w:val="202020"/>
          <w:sz w:val="21"/>
          <w:szCs w:val="21"/>
        </w:rPr>
        <w:t>ISO 29148, ISO 15288, ISO 24766</w:t>
      </w:r>
      <w:r>
        <w:t>...</w:t>
      </w:r>
    </w:p>
    <w:p w:rsidR="00980CE5" w:rsidRDefault="00980CE5" w:rsidP="00E032F9">
      <w:r>
        <w:rPr>
          <w:rStyle w:val="Textoennegrita"/>
          <w:rFonts w:ascii="Arial" w:hAnsi="Arial" w:cs="Arial"/>
          <w:color w:val="202020"/>
          <w:sz w:val="21"/>
          <w:szCs w:val="21"/>
        </w:rPr>
        <w:t>ISO 29148</w:t>
      </w:r>
      <w:r>
        <w:t> – </w:t>
      </w:r>
      <w:proofErr w:type="spellStart"/>
      <w:r>
        <w:rPr>
          <w:rStyle w:val="nfasis"/>
          <w:rFonts w:ascii="Arial" w:hAnsi="Arial" w:cs="Arial"/>
          <w:color w:val="202020"/>
          <w:sz w:val="21"/>
          <w:szCs w:val="21"/>
        </w:rPr>
        <w:t>Systems</w:t>
      </w:r>
      <w:proofErr w:type="spellEnd"/>
      <w:r>
        <w:rPr>
          <w:rStyle w:val="nfasis"/>
          <w:rFonts w:ascii="Arial" w:hAnsi="Arial" w:cs="Arial"/>
          <w:color w:val="202020"/>
          <w:sz w:val="21"/>
          <w:szCs w:val="21"/>
        </w:rPr>
        <w:t xml:space="preserve"> and software </w:t>
      </w:r>
      <w:proofErr w:type="spellStart"/>
      <w:r>
        <w:rPr>
          <w:rStyle w:val="nfasis"/>
          <w:rFonts w:ascii="Arial" w:hAnsi="Arial" w:cs="Arial"/>
          <w:color w:val="202020"/>
          <w:sz w:val="21"/>
          <w:szCs w:val="21"/>
        </w:rPr>
        <w:t>engineering</w:t>
      </w:r>
      <w:proofErr w:type="spellEnd"/>
      <w:r>
        <w:rPr>
          <w:rStyle w:val="nfasis"/>
          <w:rFonts w:ascii="Arial" w:hAnsi="Arial" w:cs="Arial"/>
          <w:color w:val="202020"/>
          <w:sz w:val="21"/>
          <w:szCs w:val="21"/>
        </w:rPr>
        <w:t xml:space="preserve"> – </w:t>
      </w:r>
      <w:proofErr w:type="spellStart"/>
      <w:r>
        <w:rPr>
          <w:rStyle w:val="nfasis"/>
          <w:rFonts w:ascii="Arial" w:hAnsi="Arial" w:cs="Arial"/>
          <w:color w:val="202020"/>
          <w:sz w:val="21"/>
          <w:szCs w:val="21"/>
        </w:rPr>
        <w:t>Life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cycle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processes</w:t>
      </w:r>
      <w:proofErr w:type="spellEnd"/>
      <w:r>
        <w:rPr>
          <w:rStyle w:val="nfasis"/>
          <w:rFonts w:ascii="Arial" w:hAnsi="Arial" w:cs="Arial"/>
          <w:color w:val="202020"/>
          <w:sz w:val="21"/>
          <w:szCs w:val="21"/>
        </w:rPr>
        <w:t xml:space="preserve"> – </w:t>
      </w:r>
      <w:proofErr w:type="spellStart"/>
      <w:r>
        <w:rPr>
          <w:rStyle w:val="nfasis"/>
          <w:rFonts w:ascii="Arial" w:hAnsi="Arial" w:cs="Arial"/>
          <w:color w:val="202020"/>
          <w:sz w:val="21"/>
          <w:szCs w:val="21"/>
        </w:rPr>
        <w:t>Requirements</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engineering</w:t>
      </w:r>
      <w:proofErr w:type="spellEnd"/>
      <w:r>
        <w:t>: Contiene destrezas para los procesos y productos relacionados con la </w:t>
      </w:r>
      <w:r>
        <w:rPr>
          <w:rStyle w:val="Textoennegrita"/>
          <w:rFonts w:ascii="Arial" w:hAnsi="Arial" w:cs="Arial"/>
          <w:color w:val="202020"/>
          <w:sz w:val="21"/>
          <w:szCs w:val="21"/>
        </w:rPr>
        <w:t>ingeniería de requisitos para los sistemas y productos de software y servicios a lo largo del ciclo de vida</w:t>
      </w:r>
      <w:r>
        <w:t>.</w:t>
      </w:r>
      <w:r>
        <w:br/>
        <w:t>Define la construcción de un buen requisito, proporciona atributos y características de los requisitos, y analiza la aplicación iterativa y recursiva de los procesos de requisitos a lo largo del ciclo de vida.</w:t>
      </w:r>
      <w:r>
        <w:br/>
        <w:t>ISO 29148 proporciona una orientación adicional en la aplicación de los procesos de requisitos de ingeniería y gestión de las actividades de los requisitos relacionados en la norma ISO 15288. Además, define los elementos de información aplicables a la ingeniería de requisitos y su contenido.</w:t>
      </w:r>
    </w:p>
    <w:p w:rsidR="00980CE5" w:rsidRDefault="00980CE5" w:rsidP="00E032F9">
      <w:r>
        <w:rPr>
          <w:rStyle w:val="Textoennegrita"/>
          <w:rFonts w:ascii="Arial" w:hAnsi="Arial" w:cs="Arial"/>
          <w:color w:val="202020"/>
          <w:sz w:val="21"/>
          <w:szCs w:val="21"/>
        </w:rPr>
        <w:t>ISO 15288</w:t>
      </w:r>
      <w:r>
        <w:t> - </w:t>
      </w:r>
      <w:proofErr w:type="spellStart"/>
      <w:r>
        <w:rPr>
          <w:rStyle w:val="nfasis"/>
          <w:rFonts w:ascii="Arial" w:hAnsi="Arial" w:cs="Arial"/>
          <w:color w:val="202020"/>
          <w:sz w:val="21"/>
          <w:szCs w:val="21"/>
        </w:rPr>
        <w:t>Systems</w:t>
      </w:r>
      <w:proofErr w:type="spellEnd"/>
      <w:r>
        <w:rPr>
          <w:rStyle w:val="nfasis"/>
          <w:rFonts w:ascii="Arial" w:hAnsi="Arial" w:cs="Arial"/>
          <w:color w:val="202020"/>
          <w:sz w:val="21"/>
          <w:szCs w:val="21"/>
        </w:rPr>
        <w:t xml:space="preserve"> and software </w:t>
      </w:r>
      <w:proofErr w:type="spellStart"/>
      <w:r>
        <w:rPr>
          <w:rStyle w:val="nfasis"/>
          <w:rFonts w:ascii="Arial" w:hAnsi="Arial" w:cs="Arial"/>
          <w:color w:val="202020"/>
          <w:sz w:val="21"/>
          <w:szCs w:val="21"/>
        </w:rPr>
        <w:t>engineering</w:t>
      </w:r>
      <w:proofErr w:type="spellEnd"/>
      <w:r>
        <w:rPr>
          <w:rStyle w:val="nfasis"/>
          <w:rFonts w:ascii="Arial" w:hAnsi="Arial" w:cs="Arial"/>
          <w:color w:val="202020"/>
          <w:sz w:val="21"/>
          <w:szCs w:val="21"/>
        </w:rPr>
        <w:t xml:space="preserve"> – </w:t>
      </w:r>
      <w:proofErr w:type="spellStart"/>
      <w:r>
        <w:rPr>
          <w:rStyle w:val="nfasis"/>
          <w:rFonts w:ascii="Arial" w:hAnsi="Arial" w:cs="Arial"/>
          <w:color w:val="202020"/>
          <w:sz w:val="21"/>
          <w:szCs w:val="21"/>
        </w:rPr>
        <w:t>System</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life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cycle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processes</w:t>
      </w:r>
      <w:proofErr w:type="spellEnd"/>
      <w:r>
        <w:t>: Establece un marco común de procesos para describir </w:t>
      </w:r>
      <w:r>
        <w:rPr>
          <w:rStyle w:val="Textoennegrita"/>
          <w:rFonts w:ascii="Arial" w:hAnsi="Arial" w:cs="Arial"/>
          <w:color w:val="202020"/>
          <w:sz w:val="21"/>
          <w:szCs w:val="21"/>
        </w:rPr>
        <w:t>el ciclo de vida de la Ingeniería de Sistemas</w:t>
      </w:r>
      <w:r>
        <w:t>.</w:t>
      </w:r>
      <w:r>
        <w:br/>
        <w:t>Define un conjunto de procesos y la terminología asociada desde un punto de vista de la ingeniería. Estos procesos se pueden aplicar en cualquier nivel de la estructura jerárquica de un sistema. Algunos conjuntos seleccionados de estos procesos se pueden aplicar en todo el ciclo de vida de la gestión y la realización de las etapas del ciclo de vida de un sistema. Esto se logra a través de la participación de todas las partes interesadas, con el objetivo de lograr la satisfacción del cliente.</w:t>
      </w:r>
    </w:p>
    <w:p w:rsidR="00980CE5" w:rsidRDefault="00980CE5" w:rsidP="00E032F9">
      <w:r>
        <w:rPr>
          <w:rStyle w:val="Textoennegrita"/>
          <w:rFonts w:ascii="Arial" w:hAnsi="Arial" w:cs="Arial"/>
          <w:color w:val="202020"/>
          <w:sz w:val="21"/>
          <w:szCs w:val="21"/>
        </w:rPr>
        <w:t>ISO 24766</w:t>
      </w:r>
      <w:r>
        <w:t> – </w:t>
      </w:r>
      <w:proofErr w:type="spellStart"/>
      <w:r>
        <w:rPr>
          <w:rStyle w:val="nfasis"/>
          <w:rFonts w:ascii="Arial" w:hAnsi="Arial" w:cs="Arial"/>
          <w:color w:val="202020"/>
          <w:sz w:val="21"/>
          <w:szCs w:val="21"/>
        </w:rPr>
        <w:t>Information</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technology</w:t>
      </w:r>
      <w:proofErr w:type="spellEnd"/>
      <w:r>
        <w:rPr>
          <w:rStyle w:val="nfasis"/>
          <w:rFonts w:ascii="Arial" w:hAnsi="Arial" w:cs="Arial"/>
          <w:color w:val="202020"/>
          <w:sz w:val="21"/>
          <w:szCs w:val="21"/>
        </w:rPr>
        <w:t xml:space="preserve"> – </w:t>
      </w:r>
      <w:proofErr w:type="spellStart"/>
      <w:r>
        <w:rPr>
          <w:rStyle w:val="nfasis"/>
          <w:rFonts w:ascii="Arial" w:hAnsi="Arial" w:cs="Arial"/>
          <w:color w:val="202020"/>
          <w:sz w:val="21"/>
          <w:szCs w:val="21"/>
        </w:rPr>
        <w:t>Systems</w:t>
      </w:r>
      <w:proofErr w:type="spellEnd"/>
      <w:r>
        <w:rPr>
          <w:rStyle w:val="nfasis"/>
          <w:rFonts w:ascii="Arial" w:hAnsi="Arial" w:cs="Arial"/>
          <w:color w:val="202020"/>
          <w:sz w:val="21"/>
          <w:szCs w:val="21"/>
        </w:rPr>
        <w:t xml:space="preserve"> and software </w:t>
      </w:r>
      <w:proofErr w:type="spellStart"/>
      <w:r>
        <w:rPr>
          <w:rStyle w:val="nfasis"/>
          <w:rFonts w:ascii="Arial" w:hAnsi="Arial" w:cs="Arial"/>
          <w:color w:val="202020"/>
          <w:sz w:val="21"/>
          <w:szCs w:val="21"/>
        </w:rPr>
        <w:t>engineering</w:t>
      </w:r>
      <w:proofErr w:type="spellEnd"/>
      <w:r>
        <w:rPr>
          <w:rStyle w:val="nfasis"/>
          <w:rFonts w:ascii="Arial" w:hAnsi="Arial" w:cs="Arial"/>
          <w:color w:val="202020"/>
          <w:sz w:val="21"/>
          <w:szCs w:val="21"/>
        </w:rPr>
        <w:t xml:space="preserve"> – </w:t>
      </w:r>
      <w:proofErr w:type="spellStart"/>
      <w:r>
        <w:rPr>
          <w:rStyle w:val="nfasis"/>
          <w:rFonts w:ascii="Arial" w:hAnsi="Arial" w:cs="Arial"/>
          <w:color w:val="202020"/>
          <w:sz w:val="21"/>
          <w:szCs w:val="21"/>
        </w:rPr>
        <w:t>Guide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for</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requirements</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tool</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capabilities</w:t>
      </w:r>
      <w:proofErr w:type="spellEnd"/>
      <w:r>
        <w:t>: La ingeniería de requisitos es un proceso esencial de los sistemas y los ciclos de vida del software de ingeniería. La ingeniería de requisitos se ha establecido como un proceso del ciclo de vida estándar ISO tanto en la norma ISO 15288, como en la norma ISO IEC 12207.</w:t>
      </w:r>
      <w:r>
        <w:br/>
        <w:t>Esta norma proporciona una orientación sobre las </w:t>
      </w:r>
      <w:r>
        <w:rPr>
          <w:rStyle w:val="Textoennegrita"/>
          <w:rFonts w:ascii="Arial" w:hAnsi="Arial" w:cs="Arial"/>
          <w:color w:val="202020"/>
          <w:sz w:val="21"/>
          <w:szCs w:val="21"/>
        </w:rPr>
        <w:t>capacidades deseables que debería aportar una herramienta de Ingeniería de Requisitos</w:t>
      </w:r>
      <w:r>
        <w:t xml:space="preserve">. Normalmente la norma ISO 24766 </w:t>
      </w:r>
      <w:r>
        <w:lastRenderedPageBreak/>
        <w:t>es utilizada como complemento de la norma ISO 14102, “</w:t>
      </w:r>
      <w:proofErr w:type="spellStart"/>
      <w:r>
        <w:t>Information</w:t>
      </w:r>
      <w:proofErr w:type="spellEnd"/>
      <w:r>
        <w:t xml:space="preserve"> </w:t>
      </w:r>
      <w:proofErr w:type="spellStart"/>
      <w:r>
        <w:t>technology</w:t>
      </w:r>
      <w:proofErr w:type="spellEnd"/>
      <w:r>
        <w:t xml:space="preserve"> – </w:t>
      </w:r>
      <w:proofErr w:type="spellStart"/>
      <w:r>
        <w:t>Guideline</w:t>
      </w:r>
      <w:proofErr w:type="spellEnd"/>
      <w:r>
        <w:t xml:space="preserve"> </w:t>
      </w:r>
      <w:proofErr w:type="spellStart"/>
      <w:r>
        <w:t>for</w:t>
      </w:r>
      <w:proofErr w:type="spellEnd"/>
      <w:r>
        <w:t xml:space="preserve"> </w:t>
      </w:r>
      <w:proofErr w:type="spellStart"/>
      <w:r>
        <w:t>the</w:t>
      </w:r>
      <w:proofErr w:type="spellEnd"/>
      <w:r>
        <w:t xml:space="preserve"> </w:t>
      </w:r>
      <w:proofErr w:type="spellStart"/>
      <w:r>
        <w:t>evaluation</w:t>
      </w:r>
      <w:proofErr w:type="spellEnd"/>
      <w:r>
        <w:t xml:space="preserve"> and </w:t>
      </w:r>
      <w:proofErr w:type="spellStart"/>
      <w:r>
        <w:t>selection</w:t>
      </w:r>
      <w:proofErr w:type="spellEnd"/>
      <w:r>
        <w:t xml:space="preserve"> </w:t>
      </w:r>
      <w:proofErr w:type="spellStart"/>
      <w:r>
        <w:t>of</w:t>
      </w:r>
      <w:proofErr w:type="spellEnd"/>
      <w:r>
        <w:t xml:space="preserve"> CASE </w:t>
      </w:r>
      <w:proofErr w:type="spellStart"/>
      <w:r>
        <w:t>tools</w:t>
      </w:r>
      <w:proofErr w:type="spellEnd"/>
      <w:r>
        <w:t>”</w:t>
      </w:r>
    </w:p>
    <w:p w:rsidR="00980CE5" w:rsidRDefault="00980CE5" w:rsidP="00E032F9">
      <w:r>
        <w:t>Otras normas y estándares sobre la gestión de requisitos son:</w:t>
      </w:r>
    </w:p>
    <w:p w:rsidR="00980CE5" w:rsidRDefault="00980CE5" w:rsidP="00E032F9">
      <w:r>
        <w:t xml:space="preserve">IEEE </w:t>
      </w:r>
      <w:proofErr w:type="spellStart"/>
      <w:r>
        <w:t>Std</w:t>
      </w:r>
      <w:proofErr w:type="spellEnd"/>
      <w:r>
        <w:t xml:space="preserve"> 830 – </w:t>
      </w:r>
      <w:r>
        <w:rPr>
          <w:rStyle w:val="nfasis"/>
          <w:rFonts w:ascii="Arial" w:hAnsi="Arial" w:cs="Arial"/>
          <w:color w:val="202020"/>
          <w:sz w:val="21"/>
          <w:szCs w:val="21"/>
        </w:rPr>
        <w:t xml:space="preserve">IEEE </w:t>
      </w:r>
      <w:proofErr w:type="spellStart"/>
      <w:r>
        <w:rPr>
          <w:rStyle w:val="nfasis"/>
          <w:rFonts w:ascii="Arial" w:hAnsi="Arial" w:cs="Arial"/>
          <w:color w:val="202020"/>
          <w:sz w:val="21"/>
          <w:szCs w:val="21"/>
        </w:rPr>
        <w:t>Recommended</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Practice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for</w:t>
      </w:r>
      <w:proofErr w:type="spellEnd"/>
      <w:r>
        <w:rPr>
          <w:rStyle w:val="nfasis"/>
          <w:rFonts w:ascii="Arial" w:hAnsi="Arial" w:cs="Arial"/>
          <w:color w:val="202020"/>
          <w:sz w:val="21"/>
          <w:szCs w:val="21"/>
        </w:rPr>
        <w:t xml:space="preserve"> Software </w:t>
      </w:r>
      <w:proofErr w:type="spellStart"/>
      <w:r>
        <w:rPr>
          <w:rStyle w:val="nfasis"/>
          <w:rFonts w:ascii="Arial" w:hAnsi="Arial" w:cs="Arial"/>
          <w:color w:val="202020"/>
          <w:sz w:val="21"/>
          <w:szCs w:val="21"/>
        </w:rPr>
        <w:t>Requirements</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Specifications</w:t>
      </w:r>
      <w:proofErr w:type="spellEnd"/>
    </w:p>
    <w:p w:rsidR="00980CE5" w:rsidRPr="00F234AC" w:rsidRDefault="00980CE5" w:rsidP="00E032F9">
      <w:pPr>
        <w:rPr>
          <w:rStyle w:val="nfasis"/>
          <w:rFonts w:ascii="Arial" w:hAnsi="Arial" w:cs="Arial"/>
          <w:i w:val="0"/>
          <w:iCs w:val="0"/>
          <w:color w:val="202020"/>
          <w:sz w:val="21"/>
          <w:szCs w:val="21"/>
        </w:rPr>
      </w:pPr>
      <w:r>
        <w:t xml:space="preserve">IEEE </w:t>
      </w:r>
      <w:proofErr w:type="spellStart"/>
      <w:r>
        <w:t>Std</w:t>
      </w:r>
      <w:proofErr w:type="spellEnd"/>
      <w:r>
        <w:t xml:space="preserve"> 1233 – </w:t>
      </w:r>
      <w:r>
        <w:rPr>
          <w:rStyle w:val="nfasis"/>
          <w:rFonts w:ascii="Arial" w:hAnsi="Arial" w:cs="Arial"/>
          <w:color w:val="202020"/>
          <w:sz w:val="21"/>
          <w:szCs w:val="21"/>
        </w:rPr>
        <w:t xml:space="preserve">IEEE </w:t>
      </w:r>
      <w:proofErr w:type="spellStart"/>
      <w:r>
        <w:rPr>
          <w:rStyle w:val="nfasis"/>
          <w:rFonts w:ascii="Arial" w:hAnsi="Arial" w:cs="Arial"/>
          <w:color w:val="202020"/>
          <w:sz w:val="21"/>
          <w:szCs w:val="21"/>
        </w:rPr>
        <w:t>Guide</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for</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Developing</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System</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Requirements</w:t>
      </w:r>
      <w:proofErr w:type="spellEnd"/>
      <w:r>
        <w:rPr>
          <w:rStyle w:val="nfasis"/>
          <w:rFonts w:ascii="Arial" w:hAnsi="Arial" w:cs="Arial"/>
          <w:color w:val="202020"/>
          <w:sz w:val="21"/>
          <w:szCs w:val="21"/>
        </w:rPr>
        <w:t xml:space="preserve"> </w:t>
      </w:r>
      <w:proofErr w:type="spellStart"/>
      <w:r>
        <w:rPr>
          <w:rStyle w:val="nfasis"/>
          <w:rFonts w:ascii="Arial" w:hAnsi="Arial" w:cs="Arial"/>
          <w:color w:val="202020"/>
          <w:sz w:val="21"/>
          <w:szCs w:val="21"/>
        </w:rPr>
        <w:t>Specifications</w:t>
      </w:r>
      <w:proofErr w:type="spellEnd"/>
    </w:p>
    <w:p w:rsidR="00F234AC" w:rsidRDefault="00F234AC" w:rsidP="00E032F9">
      <w:pPr>
        <w:rPr>
          <w:rStyle w:val="nfasis"/>
          <w:rFonts w:ascii="Arial" w:hAnsi="Arial" w:cs="Arial"/>
          <w:i w:val="0"/>
          <w:iCs w:val="0"/>
          <w:color w:val="202020"/>
          <w:sz w:val="21"/>
          <w:szCs w:val="21"/>
        </w:rPr>
      </w:pPr>
    </w:p>
    <w:p w:rsidR="00F234AC" w:rsidRDefault="00F234AC" w:rsidP="00E032F9">
      <w:pPr>
        <w:rPr>
          <w:rStyle w:val="nfasis"/>
          <w:rFonts w:ascii="Arial" w:hAnsi="Arial" w:cs="Arial"/>
          <w:i w:val="0"/>
          <w:iCs w:val="0"/>
          <w:color w:val="202020"/>
          <w:sz w:val="21"/>
          <w:szCs w:val="21"/>
        </w:rPr>
      </w:pPr>
    </w:p>
    <w:p w:rsidR="00F234AC" w:rsidRDefault="00F234AC" w:rsidP="00E032F9">
      <w:r>
        <w:t>Esquema de la ERS definida en el IEEE 830-1998 La siguiente figura muestra la estructura de la ERS propuesta por el IEEE en su estándar 830 [IEEE, 1998] [</w:t>
      </w:r>
      <w:proofErr w:type="spellStart"/>
      <w:r>
        <w:t>upm</w:t>
      </w:r>
      <w:proofErr w:type="spellEnd"/>
      <w:r>
        <w:t xml:space="preserve">, 2000]. </w:t>
      </w:r>
    </w:p>
    <w:p w:rsidR="00F234AC" w:rsidRDefault="00F234AC" w:rsidP="00E032F9">
      <w:pPr>
        <w:rPr>
          <w:noProof/>
        </w:rPr>
      </w:pPr>
      <w:r>
        <w:rPr>
          <w:noProof/>
        </w:rPr>
        <w:drawing>
          <wp:inline distT="0" distB="0" distL="0" distR="0" wp14:anchorId="13817E11" wp14:editId="69CE11F0">
            <wp:extent cx="4667250" cy="35841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92" t="29282" r="30584" b="15778"/>
                    <a:stretch/>
                  </pic:blipFill>
                  <pic:spPr bwMode="auto">
                    <a:xfrm>
                      <a:off x="0" y="0"/>
                      <a:ext cx="4668939" cy="3585430"/>
                    </a:xfrm>
                    <a:prstGeom prst="rect">
                      <a:avLst/>
                    </a:prstGeom>
                    <a:ln>
                      <a:noFill/>
                    </a:ln>
                    <a:extLst>
                      <a:ext uri="{53640926-AAD7-44D8-BBD7-CCE9431645EC}">
                        <a14:shadowObscured xmlns:a14="http://schemas.microsoft.com/office/drawing/2010/main"/>
                      </a:ext>
                    </a:extLst>
                  </pic:spPr>
                </pic:pic>
              </a:graphicData>
            </a:graphic>
          </wp:inline>
        </w:drawing>
      </w:r>
    </w:p>
    <w:p w:rsidR="00F234AC" w:rsidRDefault="00F234AC" w:rsidP="00E032F9">
      <w:pPr>
        <w:rPr>
          <w:rStyle w:val="nfasis"/>
          <w:rFonts w:ascii="Arial" w:hAnsi="Arial" w:cs="Arial"/>
          <w:b/>
          <w:bCs/>
          <w:color w:val="202020"/>
          <w:sz w:val="16"/>
          <w:szCs w:val="16"/>
        </w:rPr>
      </w:pPr>
      <w:r w:rsidRPr="00F234AC">
        <w:rPr>
          <w:rStyle w:val="nfasis"/>
          <w:rFonts w:ascii="Arial" w:hAnsi="Arial" w:cs="Arial"/>
          <w:b/>
          <w:bCs/>
          <w:color w:val="202020"/>
          <w:sz w:val="16"/>
          <w:szCs w:val="16"/>
        </w:rPr>
        <w:t>Figura estructura ERS</w:t>
      </w:r>
    </w:p>
    <w:p w:rsidR="00F234AC" w:rsidRDefault="00E032F9" w:rsidP="00E032F9">
      <w:pPr>
        <w:rPr>
          <w:rStyle w:val="nfasis"/>
          <w:rFonts w:ascii="Arial" w:hAnsi="Arial" w:cs="Arial"/>
          <w:b/>
          <w:bCs/>
          <w:color w:val="202020"/>
          <w:sz w:val="16"/>
          <w:szCs w:val="16"/>
        </w:rPr>
      </w:pPr>
      <w:sdt>
        <w:sdtPr>
          <w:rPr>
            <w:rStyle w:val="nfasis"/>
            <w:rFonts w:ascii="Arial" w:hAnsi="Arial" w:cs="Arial"/>
            <w:b/>
            <w:bCs/>
            <w:color w:val="202020"/>
            <w:sz w:val="16"/>
            <w:szCs w:val="16"/>
          </w:rPr>
          <w:id w:val="505936384"/>
          <w:citation/>
        </w:sdtPr>
        <w:sdtContent>
          <w:r>
            <w:rPr>
              <w:rStyle w:val="nfasis"/>
              <w:rFonts w:ascii="Arial" w:hAnsi="Arial" w:cs="Arial"/>
              <w:b/>
              <w:bCs/>
              <w:color w:val="202020"/>
              <w:sz w:val="16"/>
              <w:szCs w:val="16"/>
            </w:rPr>
            <w:fldChar w:fldCharType="begin"/>
          </w:r>
          <w:r>
            <w:rPr>
              <w:rStyle w:val="nfasis"/>
              <w:rFonts w:ascii="Arial" w:hAnsi="Arial" w:cs="Arial"/>
              <w:b/>
              <w:bCs/>
              <w:color w:val="202020"/>
              <w:sz w:val="16"/>
              <w:szCs w:val="16"/>
            </w:rPr>
            <w:instrText xml:space="preserve"> CITATION htt \l 9226 </w:instrText>
          </w:r>
          <w:r>
            <w:rPr>
              <w:rStyle w:val="nfasis"/>
              <w:rFonts w:ascii="Arial" w:hAnsi="Arial" w:cs="Arial"/>
              <w:b/>
              <w:bCs/>
              <w:color w:val="202020"/>
              <w:sz w:val="16"/>
              <w:szCs w:val="16"/>
            </w:rPr>
            <w:fldChar w:fldCharType="separate"/>
          </w:r>
          <w:r w:rsidRPr="00E032F9">
            <w:rPr>
              <w:rFonts w:ascii="Arial" w:hAnsi="Arial" w:cs="Arial"/>
              <w:noProof/>
              <w:color w:val="202020"/>
              <w:sz w:val="16"/>
              <w:szCs w:val="16"/>
            </w:rPr>
            <w:t>(htt)</w:t>
          </w:r>
          <w:r>
            <w:rPr>
              <w:rStyle w:val="nfasis"/>
              <w:rFonts w:ascii="Arial" w:hAnsi="Arial" w:cs="Arial"/>
              <w:b/>
              <w:bCs/>
              <w:color w:val="202020"/>
              <w:sz w:val="16"/>
              <w:szCs w:val="16"/>
            </w:rPr>
            <w:fldChar w:fldCharType="end"/>
          </w:r>
        </w:sdtContent>
      </w:sdt>
    </w:p>
    <w:p w:rsidR="00F234AC" w:rsidRPr="00F234AC" w:rsidRDefault="00F234AC" w:rsidP="00E032F9">
      <w:pPr>
        <w:rPr>
          <w:rStyle w:val="nfasis"/>
          <w:rFonts w:ascii="Arial" w:hAnsi="Arial" w:cs="Arial"/>
          <w:i w:val="0"/>
          <w:iCs w:val="0"/>
          <w:color w:val="202020"/>
          <w:sz w:val="16"/>
          <w:szCs w:val="16"/>
        </w:rPr>
      </w:pPr>
    </w:p>
    <w:p w:rsidR="00F234AC" w:rsidRPr="00F234AC" w:rsidRDefault="00F234AC" w:rsidP="00E032F9">
      <w:pPr>
        <w:rPr>
          <w:rStyle w:val="nfasis"/>
          <w:rFonts w:ascii="Arial" w:hAnsi="Arial" w:cs="Arial"/>
          <w:i w:val="0"/>
          <w:iCs w:val="0"/>
          <w:color w:val="202020"/>
          <w:sz w:val="21"/>
          <w:szCs w:val="21"/>
        </w:rPr>
      </w:pPr>
    </w:p>
    <w:p w:rsidR="00F234AC" w:rsidRDefault="00F234AC" w:rsidP="00E032F9"/>
    <w:p w:rsidR="004B5F77" w:rsidRDefault="004B5F77" w:rsidP="00E032F9">
      <w:pPr>
        <w:rPr>
          <w:rFonts w:ascii="inherit" w:hAnsi="inherit"/>
          <w:color w:val="212125"/>
        </w:rPr>
      </w:pPr>
      <w:r>
        <w:rPr>
          <w:rStyle w:val="Textoennegrita"/>
          <w:rFonts w:ascii="inherit" w:hAnsi="inherit" w:cs="Arial"/>
          <w:color w:val="212125"/>
        </w:rPr>
        <w:lastRenderedPageBreak/>
        <w:t>Capturas de</w:t>
      </w:r>
      <w:r>
        <w:rPr>
          <w:rFonts w:ascii="inherit" w:hAnsi="inherit"/>
          <w:color w:val="212125"/>
        </w:rPr>
        <w:t> </w:t>
      </w:r>
      <w:hyperlink r:id="rId9" w:history="1">
        <w:r>
          <w:rPr>
            <w:rStyle w:val="Hipervnculo"/>
            <w:rFonts w:ascii="inherit" w:hAnsi="inherit" w:cs="Arial"/>
            <w:b/>
            <w:bCs/>
            <w:color w:val="008CBA"/>
          </w:rPr>
          <w:t>gestión de requisitos</w:t>
        </w:r>
      </w:hyperlink>
      <w:r>
        <w:rPr>
          <w:rFonts w:ascii="inherit" w:hAnsi="inherit"/>
          <w:color w:val="212125"/>
        </w:rPr>
        <w:t> y análisis de opiniones de los interesados de los objetivos del trabajo. Los requisitos son "solución-libre", es decir, que ellos describen deseos y necesidades de las partes interesadas, pero no determinan las salidas necesarias para hacerles frente;</w:t>
      </w:r>
    </w:p>
    <w:p w:rsidR="004B5F77" w:rsidRDefault="004B5F77" w:rsidP="00E032F9">
      <w:pPr>
        <w:rPr>
          <w:rFonts w:ascii="inherit" w:hAnsi="inherit"/>
          <w:color w:val="212125"/>
        </w:rPr>
      </w:pPr>
      <w:hyperlink r:id="rId10" w:history="1">
        <w:r>
          <w:rPr>
            <w:rStyle w:val="Textoennegrita"/>
            <w:rFonts w:ascii="inherit" w:hAnsi="inherit" w:cs="Arial"/>
            <w:color w:val="008CBA"/>
          </w:rPr>
          <w:t>Desarrollo de soluciones</w:t>
        </w:r>
      </w:hyperlink>
      <w:r>
        <w:rPr>
          <w:rFonts w:ascii="inherit" w:hAnsi="inherit"/>
          <w:color w:val="212125"/>
        </w:rPr>
        <w:t> toma los requisitos e investiga cómo pueden cumplirse al tiempo que proporciona el mejor rendimiento de la inversión;</w:t>
      </w:r>
    </w:p>
    <w:p w:rsidR="004B5F77" w:rsidRDefault="004B5F77" w:rsidP="00E032F9">
      <w:pPr>
        <w:rPr>
          <w:rFonts w:ascii="inherit" w:hAnsi="inherit"/>
          <w:color w:val="212125"/>
        </w:rPr>
      </w:pPr>
      <w:hyperlink r:id="rId11" w:history="1">
        <w:r>
          <w:rPr>
            <w:rStyle w:val="Hipervnculo"/>
            <w:rFonts w:ascii="inherit" w:hAnsi="inherit" w:cs="Arial"/>
            <w:b/>
            <w:bCs/>
            <w:color w:val="008CBA"/>
          </w:rPr>
          <w:t>Gestión de beneficios</w:t>
        </w:r>
      </w:hyperlink>
      <w:r>
        <w:rPr>
          <w:rFonts w:ascii="inherit" w:hAnsi="inherit"/>
          <w:color w:val="212125"/>
        </w:rPr>
        <w:t> tiene requisitos que se han expresado en términos de beneficios y los gestiona a través de su entrega final. Gestión de beneficios generalmente depende de la gestión del cambio para convertir las salidas en resultados y obtener beneficios de los resultados.</w:t>
      </w:r>
    </w:p>
    <w:p w:rsidR="004B5F77" w:rsidRDefault="004B5F77" w:rsidP="00E032F9">
      <w:pPr>
        <w:rPr>
          <w:rFonts w:ascii="inherit" w:hAnsi="inherit"/>
          <w:color w:val="212125"/>
        </w:rPr>
      </w:pPr>
      <w:r>
        <w:rPr>
          <w:rStyle w:val="Textoennegrita"/>
          <w:rFonts w:ascii="inherit" w:hAnsi="inherit" w:cs="Arial"/>
          <w:color w:val="212125"/>
        </w:rPr>
        <w:t>El </w:t>
      </w:r>
      <w:hyperlink r:id="rId12" w:history="1">
        <w:r>
          <w:rPr>
            <w:rStyle w:val="Hipervnculo"/>
            <w:rFonts w:ascii="inherit" w:hAnsi="inherit" w:cs="Arial"/>
            <w:b/>
            <w:bCs/>
            <w:color w:val="008CBA"/>
          </w:rPr>
          <w:t>control de cambios</w:t>
        </w:r>
      </w:hyperlink>
      <w:r>
        <w:rPr>
          <w:rFonts w:ascii="inherit" w:hAnsi="inherit"/>
          <w:color w:val="212125"/>
        </w:rPr>
        <w:t> es un procedimiento que captura y evalúa los posibles cambios en el alcance. Asegura que se hacen cambios sólo deseables, alcanzables y viables.</w:t>
      </w:r>
    </w:p>
    <w:p w:rsidR="004B5F77" w:rsidRDefault="004B5F77" w:rsidP="00E032F9">
      <w:pPr>
        <w:rPr>
          <w:rFonts w:ascii="inherit" w:hAnsi="inherit"/>
          <w:color w:val="212125"/>
        </w:rPr>
      </w:pPr>
      <w:hyperlink r:id="rId13" w:history="1">
        <w:r>
          <w:rPr>
            <w:rStyle w:val="Hipervnculo"/>
            <w:rFonts w:ascii="inherit" w:hAnsi="inherit" w:cs="Arial"/>
            <w:b/>
            <w:bCs/>
            <w:color w:val="008CBA"/>
          </w:rPr>
          <w:t>Gestión de configuración</w:t>
        </w:r>
      </w:hyperlink>
      <w:r>
        <w:rPr>
          <w:rFonts w:ascii="inherit" w:hAnsi="inherit"/>
          <w:color w:val="212125"/>
        </w:rPr>
        <w:t> monitorea y documenta el desarrollo de productos. Registra cambios aprobados y archiva las versiones que han sido reemplazadas. La información en la configuración del sistema de información ayuda a la evaluación de solicitudes de cambio.</w:t>
      </w:r>
    </w:p>
    <w:p w:rsidR="004B5F77" w:rsidRDefault="004B5F77" w:rsidP="00E032F9">
      <w:pPr>
        <w:rPr>
          <w:rFonts w:ascii="inherit" w:hAnsi="inherit"/>
          <w:color w:val="212125"/>
        </w:rPr>
      </w:pPr>
      <w:r>
        <w:rPr>
          <w:rFonts w:ascii="inherit" w:hAnsi="inherit"/>
          <w:color w:val="212125"/>
        </w:rPr>
        <w:t xml:space="preserve">La forma en que </w:t>
      </w:r>
      <w:proofErr w:type="gramStart"/>
      <w:r>
        <w:rPr>
          <w:rFonts w:ascii="inherit" w:hAnsi="inherit"/>
          <w:color w:val="212125"/>
        </w:rPr>
        <w:t>estas área</w:t>
      </w:r>
      <w:proofErr w:type="gramEnd"/>
      <w:r>
        <w:rPr>
          <w:rFonts w:ascii="inherit" w:hAnsi="inherit"/>
          <w:color w:val="212125"/>
        </w:rPr>
        <w:t xml:space="preserve"> se inter relacionan varía considerablemente. Un procedimiento simple de gestión del alcance puede tomar la siguiente forma:</w:t>
      </w:r>
    </w:p>
    <w:p w:rsidR="004B5F77" w:rsidRDefault="004B5F77" w:rsidP="00E032F9">
      <w:pPr>
        <w:rPr>
          <w:rFonts w:ascii="inherit" w:hAnsi="inherit"/>
          <w:color w:val="212125"/>
        </w:rPr>
      </w:pPr>
      <w:r>
        <w:rPr>
          <w:rFonts w:ascii="inherit" w:hAnsi="inherit"/>
          <w:color w:val="212125"/>
        </w:rPr>
        <w:t> </w:t>
      </w:r>
    </w:p>
    <w:p w:rsidR="004B5F77" w:rsidRDefault="004B5F77" w:rsidP="00E032F9">
      <w:pPr>
        <w:rPr>
          <w:color w:val="212125"/>
          <w:sz w:val="22"/>
        </w:rPr>
      </w:pPr>
      <w:r>
        <w:rPr>
          <w:noProof/>
          <w:color w:val="212125"/>
          <w:sz w:val="22"/>
        </w:rPr>
        <w:drawing>
          <wp:inline distT="0" distB="0" distL="0" distR="0">
            <wp:extent cx="5612130" cy="5734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73405"/>
                    </a:xfrm>
                    <a:prstGeom prst="rect">
                      <a:avLst/>
                    </a:prstGeom>
                    <a:noFill/>
                    <a:ln>
                      <a:noFill/>
                    </a:ln>
                  </pic:spPr>
                </pic:pic>
              </a:graphicData>
            </a:graphic>
          </wp:inline>
        </w:drawing>
      </w:r>
    </w:p>
    <w:p w:rsidR="004B5F77" w:rsidRDefault="004B5F77" w:rsidP="00E032F9">
      <w:pPr>
        <w:rPr>
          <w:color w:val="212125"/>
          <w:sz w:val="22"/>
        </w:rPr>
      </w:pPr>
    </w:p>
    <w:p w:rsidR="004B5F77" w:rsidRDefault="004B5F77" w:rsidP="00E032F9">
      <w:pPr>
        <w:rPr>
          <w:color w:val="212125"/>
          <w:sz w:val="22"/>
        </w:rPr>
      </w:pPr>
      <w:r>
        <w:rPr>
          <w:color w:val="212125"/>
          <w:sz w:val="22"/>
        </w:rPr>
        <w:t xml:space="preserve">Esto describe un enfoque linear que es apropiado donde un pequeño </w:t>
      </w:r>
      <w:proofErr w:type="spellStart"/>
      <w:r>
        <w:rPr>
          <w:color w:val="212125"/>
          <w:sz w:val="22"/>
        </w:rPr>
        <w:t>numero</w:t>
      </w:r>
      <w:proofErr w:type="spellEnd"/>
      <w:r>
        <w:rPr>
          <w:color w:val="212125"/>
          <w:sz w:val="22"/>
        </w:rPr>
        <w:t xml:space="preserve"> de resultados apoya un pequeño </w:t>
      </w:r>
      <w:proofErr w:type="spellStart"/>
      <w:r>
        <w:rPr>
          <w:color w:val="212125"/>
          <w:sz w:val="22"/>
        </w:rPr>
        <w:t>numero</w:t>
      </w:r>
      <w:proofErr w:type="spellEnd"/>
      <w:r>
        <w:rPr>
          <w:color w:val="212125"/>
          <w:sz w:val="22"/>
        </w:rPr>
        <w:t xml:space="preserve"> de beneficios. i.e. una pieza de trabajo de baja complejidad que probablemente será manejada como un proyecto.</w:t>
      </w:r>
    </w:p>
    <w:p w:rsidR="004B5F77" w:rsidRDefault="004B5F77" w:rsidP="00E032F9">
      <w:pPr>
        <w:rPr>
          <w:color w:val="212125"/>
          <w:sz w:val="22"/>
        </w:rPr>
      </w:pPr>
      <w:r>
        <w:rPr>
          <w:color w:val="212125"/>
          <w:sz w:val="22"/>
        </w:rPr>
        <w:lastRenderedPageBreak/>
        <w:t>En piezas de trabajo más extensivas, donde los resultados y beneficios tienen relaciones complejas, la gestión de alcance integra los procedimientos de sus funciones componentes.</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color w:val="2B2B2B"/>
          <w:szCs w:val="24"/>
          <w:lang w:eastAsia="es-CO"/>
        </w:rPr>
        <w:t>El </w:t>
      </w:r>
      <w:r w:rsidRPr="004B5F77">
        <w:rPr>
          <w:rFonts w:ascii="Gautami" w:eastAsia="Times New Roman" w:hAnsi="Gautami" w:cs="Gautami"/>
          <w:b/>
          <w:bCs/>
          <w:color w:val="2B2B2B"/>
          <w:szCs w:val="24"/>
          <w:lang w:eastAsia="es-CO"/>
        </w:rPr>
        <w:t xml:space="preserve">Open </w:t>
      </w:r>
      <w:proofErr w:type="spellStart"/>
      <w:r w:rsidRPr="004B5F77">
        <w:rPr>
          <w:rFonts w:ascii="Gautami" w:eastAsia="Times New Roman" w:hAnsi="Gautami" w:cs="Gautami"/>
          <w:b/>
          <w:bCs/>
          <w:color w:val="2B2B2B"/>
          <w:szCs w:val="24"/>
          <w:lang w:eastAsia="es-CO"/>
        </w:rPr>
        <w:t>Group</w:t>
      </w:r>
      <w:proofErr w:type="spellEnd"/>
      <w:r w:rsidRPr="004B5F77">
        <w:rPr>
          <w:rFonts w:ascii="Gautami" w:eastAsia="Times New Roman" w:hAnsi="Gautami" w:cs="Gautami"/>
          <w:b/>
          <w:bCs/>
          <w:color w:val="2B2B2B"/>
          <w:szCs w:val="24"/>
          <w:lang w:eastAsia="es-CO"/>
        </w:rPr>
        <w:t xml:space="preserve"> </w:t>
      </w:r>
      <w:proofErr w:type="spellStart"/>
      <w:r w:rsidRPr="004B5F77">
        <w:rPr>
          <w:rFonts w:ascii="Gautami" w:eastAsia="Times New Roman" w:hAnsi="Gautami" w:cs="Gautami"/>
          <w:b/>
          <w:bCs/>
          <w:color w:val="2B2B2B"/>
          <w:szCs w:val="24"/>
          <w:lang w:eastAsia="es-CO"/>
        </w:rPr>
        <w:t>Architecture</w:t>
      </w:r>
      <w:proofErr w:type="spellEnd"/>
      <w:r w:rsidRPr="004B5F77">
        <w:rPr>
          <w:rFonts w:ascii="Gautami" w:eastAsia="Times New Roman" w:hAnsi="Gautami" w:cs="Gautami"/>
          <w:b/>
          <w:bCs/>
          <w:color w:val="2B2B2B"/>
          <w:szCs w:val="24"/>
          <w:lang w:eastAsia="es-CO"/>
        </w:rPr>
        <w:t xml:space="preserve"> Framework (TOGAF)</w:t>
      </w:r>
      <w:r w:rsidRPr="004B5F77">
        <w:rPr>
          <w:rFonts w:ascii="Gautami" w:eastAsia="Times New Roman" w:hAnsi="Gautami" w:cs="Gautami"/>
          <w:color w:val="2B2B2B"/>
          <w:szCs w:val="24"/>
          <w:lang w:eastAsia="es-CO"/>
        </w:rPr>
        <w:t> es una arquitectura empresarial que ofrece un marco de alto nivel para el desarrollo de software empresarial. Ayuda a organizar el proceso de desarrollo a través de un enfoque sistemático para reducir los errores, mantener los plazos, mantenerse dentro del presupuesto y alinear la TI con las unidades de negocios para producir resultados de calidad.</w:t>
      </w:r>
    </w:p>
    <w:p w:rsidR="004B5F77" w:rsidRPr="004B5F77" w:rsidRDefault="004B5F77" w:rsidP="00E032F9">
      <w:pPr>
        <w:rPr>
          <w:rFonts w:ascii="Gautami" w:eastAsia="Times New Roman" w:hAnsi="Gautami" w:cs="Gautami"/>
          <w:color w:val="2B2B2B"/>
          <w:szCs w:val="24"/>
          <w:lang w:eastAsia="es-CO"/>
        </w:rPr>
      </w:pPr>
      <w:proofErr w:type="spellStart"/>
      <w:r w:rsidRPr="004B5F77">
        <w:rPr>
          <w:rFonts w:ascii="Gautami" w:eastAsia="Times New Roman" w:hAnsi="Gautami" w:cs="Gautami"/>
          <w:b/>
          <w:bCs/>
          <w:color w:val="2B2B2B"/>
          <w:szCs w:val="24"/>
          <w:lang w:eastAsia="es-CO"/>
        </w:rPr>
        <w:t>The</w:t>
      </w:r>
      <w:proofErr w:type="spellEnd"/>
      <w:r w:rsidRPr="004B5F77">
        <w:rPr>
          <w:rFonts w:ascii="Gautami" w:eastAsia="Times New Roman" w:hAnsi="Gautami" w:cs="Gautami"/>
          <w:b/>
          <w:bCs/>
          <w:color w:val="2B2B2B"/>
          <w:szCs w:val="24"/>
          <w:lang w:eastAsia="es-CO"/>
        </w:rPr>
        <w:t xml:space="preserve"> Open </w:t>
      </w:r>
      <w:proofErr w:type="spellStart"/>
      <w:r w:rsidRPr="004B5F77">
        <w:rPr>
          <w:rFonts w:ascii="Gautami" w:eastAsia="Times New Roman" w:hAnsi="Gautami" w:cs="Gautami"/>
          <w:b/>
          <w:bCs/>
          <w:color w:val="2B2B2B"/>
          <w:szCs w:val="24"/>
          <w:lang w:eastAsia="es-CO"/>
        </w:rPr>
        <w:t>Group</w:t>
      </w:r>
      <w:proofErr w:type="spellEnd"/>
      <w:r w:rsidRPr="004B5F77">
        <w:rPr>
          <w:rFonts w:ascii="Gautami" w:eastAsia="Times New Roman" w:hAnsi="Gautami" w:cs="Gautami"/>
          <w:color w:val="2B2B2B"/>
          <w:szCs w:val="24"/>
          <w:lang w:eastAsia="es-CO"/>
        </w:rPr>
        <w:t> desarrolló </w:t>
      </w: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en 1995 y en 2016 el 80% de las empresas Global 50 y el 60% de las compañías </w:t>
      </w:r>
      <w:proofErr w:type="spellStart"/>
      <w:r w:rsidRPr="004B5F77">
        <w:rPr>
          <w:rFonts w:ascii="Gautami" w:eastAsia="Times New Roman" w:hAnsi="Gautami" w:cs="Gautami"/>
          <w:b/>
          <w:bCs/>
          <w:color w:val="2B2B2B"/>
          <w:szCs w:val="24"/>
          <w:lang w:eastAsia="es-CO"/>
        </w:rPr>
        <w:t>Fortune</w:t>
      </w:r>
      <w:proofErr w:type="spellEnd"/>
      <w:r w:rsidRPr="004B5F77">
        <w:rPr>
          <w:rFonts w:ascii="Gautami" w:eastAsia="Times New Roman" w:hAnsi="Gautami" w:cs="Gautami"/>
          <w:b/>
          <w:bCs/>
          <w:color w:val="2B2B2B"/>
          <w:szCs w:val="24"/>
          <w:lang w:eastAsia="es-CO"/>
        </w:rPr>
        <w:t xml:space="preserve"> 500 </w:t>
      </w:r>
      <w:r w:rsidRPr="004B5F77">
        <w:rPr>
          <w:rFonts w:ascii="Gautami" w:eastAsia="Times New Roman" w:hAnsi="Gautami" w:cs="Gautami"/>
          <w:color w:val="2B2B2B"/>
          <w:szCs w:val="24"/>
          <w:lang w:eastAsia="es-CO"/>
        </w:rPr>
        <w:t>lo estaban utilizando. Es gratuito para que las organizaciones lo utilicen internamente, pero no con fines comerciales. Sin embargo, las empresas pueden tener herramientas, software o programas de capacitación certificados por </w:t>
      </w:r>
      <w:proofErr w:type="spellStart"/>
      <w:r w:rsidRPr="004B5F77">
        <w:rPr>
          <w:rFonts w:ascii="Gautami" w:eastAsia="Times New Roman" w:hAnsi="Gautami" w:cs="Gautami"/>
          <w:b/>
          <w:bCs/>
          <w:color w:val="2B2B2B"/>
          <w:szCs w:val="24"/>
          <w:lang w:eastAsia="es-CO"/>
        </w:rPr>
        <w:t>The</w:t>
      </w:r>
      <w:proofErr w:type="spellEnd"/>
      <w:r w:rsidRPr="004B5F77">
        <w:rPr>
          <w:rFonts w:ascii="Gautami" w:eastAsia="Times New Roman" w:hAnsi="Gautami" w:cs="Gautami"/>
          <w:b/>
          <w:bCs/>
          <w:color w:val="2B2B2B"/>
          <w:szCs w:val="24"/>
          <w:lang w:eastAsia="es-CO"/>
        </w:rPr>
        <w:t xml:space="preserve"> Open </w:t>
      </w:r>
      <w:proofErr w:type="spellStart"/>
      <w:r w:rsidRPr="004B5F77">
        <w:rPr>
          <w:rFonts w:ascii="Gautami" w:eastAsia="Times New Roman" w:hAnsi="Gautami" w:cs="Gautami"/>
          <w:b/>
          <w:bCs/>
          <w:color w:val="2B2B2B"/>
          <w:szCs w:val="24"/>
          <w:lang w:eastAsia="es-CO"/>
        </w:rPr>
        <w:t>Group</w:t>
      </w:r>
      <w:proofErr w:type="spellEnd"/>
      <w:r w:rsidRPr="004B5F77">
        <w:rPr>
          <w:rFonts w:ascii="Gautami" w:eastAsia="Times New Roman" w:hAnsi="Gautami" w:cs="Gautami"/>
          <w:color w:val="2B2B2B"/>
          <w:szCs w:val="24"/>
          <w:lang w:eastAsia="es-CO"/>
        </w:rPr>
        <w:t>. Actualmente hay ocho herramientas certificadas TOGAF y 71 cursos acreditados ofrecidos por 70 organizaciones.</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Visión general </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color w:val="2B2B2B"/>
          <w:szCs w:val="24"/>
          <w:lang w:eastAsia="es-CO"/>
        </w:rPr>
        <w:t>Al igual que otros marcos de administración de TI, </w:t>
      </w: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ayuda a las empresas a alinear la TI con los objetivos comerciales, a la vez que ayuda a organizar los esfuerzos de TI entre departamentos. Ayuda a las empresas a definir y organizar los requisitos antes de que comience un proyecto, lo que permite que el proceso avance rápidamente con pocos errores.</w:t>
      </w:r>
    </w:p>
    <w:p w:rsidR="004B5F77" w:rsidRPr="004B5F77" w:rsidRDefault="004B5F77" w:rsidP="00E032F9">
      <w:pPr>
        <w:rPr>
          <w:rFonts w:ascii="Gautami" w:eastAsia="Times New Roman" w:hAnsi="Gautami" w:cs="Gautami"/>
          <w:color w:val="2B2B2B"/>
          <w:szCs w:val="24"/>
          <w:lang w:eastAsia="es-CO"/>
        </w:rPr>
      </w:pPr>
      <w:proofErr w:type="spellStart"/>
      <w:r w:rsidRPr="004B5F77">
        <w:rPr>
          <w:rFonts w:ascii="Gautami" w:eastAsia="Times New Roman" w:hAnsi="Gautami" w:cs="Gautami"/>
          <w:b/>
          <w:bCs/>
          <w:color w:val="2B2B2B"/>
          <w:szCs w:val="24"/>
          <w:lang w:eastAsia="es-CO"/>
        </w:rPr>
        <w:t>The</w:t>
      </w:r>
      <w:proofErr w:type="spellEnd"/>
      <w:r w:rsidRPr="004B5F77">
        <w:rPr>
          <w:rFonts w:ascii="Gautami" w:eastAsia="Times New Roman" w:hAnsi="Gautami" w:cs="Gautami"/>
          <w:b/>
          <w:bCs/>
          <w:color w:val="2B2B2B"/>
          <w:szCs w:val="24"/>
          <w:lang w:eastAsia="es-CO"/>
        </w:rPr>
        <w:t xml:space="preserve"> Open </w:t>
      </w:r>
      <w:proofErr w:type="spellStart"/>
      <w:r w:rsidRPr="004B5F77">
        <w:rPr>
          <w:rFonts w:ascii="Gautami" w:eastAsia="Times New Roman" w:hAnsi="Gautami" w:cs="Gautami"/>
          <w:b/>
          <w:bCs/>
          <w:color w:val="2B2B2B"/>
          <w:szCs w:val="24"/>
          <w:lang w:eastAsia="es-CO"/>
        </w:rPr>
        <w:t>Group</w:t>
      </w:r>
      <w:proofErr w:type="spellEnd"/>
      <w:r w:rsidRPr="004B5F77">
        <w:rPr>
          <w:rFonts w:ascii="Gautami" w:eastAsia="Times New Roman" w:hAnsi="Gautami" w:cs="Gautami"/>
          <w:color w:val="2B2B2B"/>
          <w:szCs w:val="24"/>
          <w:lang w:eastAsia="es-CO"/>
        </w:rPr>
        <w:t> afirma que </w:t>
      </w: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está destinado a:</w:t>
      </w:r>
    </w:p>
    <w:p w:rsidR="004B5F77" w:rsidRPr="004B5F77" w:rsidRDefault="004B5F77" w:rsidP="00E032F9">
      <w:pPr>
        <w:rPr>
          <w:rFonts w:ascii="Gautami" w:eastAsia="Times New Roman" w:hAnsi="Gautami" w:cs="Gautami"/>
          <w:color w:val="2B2B2B"/>
          <w:szCs w:val="24"/>
          <w:lang w:eastAsia="es-CO"/>
        </w:rPr>
      </w:pPr>
      <w:proofErr w:type="gramStart"/>
      <w:r w:rsidRPr="004B5F77">
        <w:rPr>
          <w:rFonts w:ascii="Gautami" w:eastAsia="Times New Roman" w:hAnsi="Gautami" w:cs="Gautami"/>
          <w:color w:val="2B2B2B"/>
          <w:szCs w:val="24"/>
          <w:lang w:eastAsia="es-CO"/>
        </w:rPr>
        <w:lastRenderedPageBreak/>
        <w:t>Asegurar</w:t>
      </w:r>
      <w:proofErr w:type="gramEnd"/>
      <w:r w:rsidRPr="004B5F77">
        <w:rPr>
          <w:rFonts w:ascii="Gautami" w:eastAsia="Times New Roman" w:hAnsi="Gautami" w:cs="Gautami"/>
          <w:color w:val="2B2B2B"/>
          <w:szCs w:val="24"/>
          <w:lang w:eastAsia="es-CO"/>
        </w:rPr>
        <w:t xml:space="preserve"> que todos hablen el </w:t>
      </w:r>
      <w:r w:rsidRPr="004B5F77">
        <w:rPr>
          <w:rFonts w:ascii="Gautami" w:eastAsia="Times New Roman" w:hAnsi="Gautami" w:cs="Gautami"/>
          <w:b/>
          <w:bCs/>
          <w:color w:val="2B2B2B"/>
          <w:szCs w:val="24"/>
          <w:lang w:eastAsia="es-CO"/>
        </w:rPr>
        <w:t>mismo idioma</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Evitar el bloqueo de soluciones</w:t>
      </w:r>
      <w:r w:rsidRPr="004B5F77">
        <w:rPr>
          <w:rFonts w:ascii="Gautami" w:eastAsia="Times New Roman" w:hAnsi="Gautami" w:cs="Gautami"/>
          <w:color w:val="2B2B2B"/>
          <w:szCs w:val="24"/>
          <w:lang w:eastAsia="es-CO"/>
        </w:rPr>
        <w:t> patentadas mediante la estandarización de métodos abiertos para la arquitectura empresarial</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Ahorrar</w:t>
      </w:r>
      <w:r w:rsidRPr="004B5F77">
        <w:rPr>
          <w:rFonts w:ascii="Gautami" w:eastAsia="Times New Roman" w:hAnsi="Gautami" w:cs="Gautami"/>
          <w:color w:val="2B2B2B"/>
          <w:szCs w:val="24"/>
          <w:lang w:eastAsia="es-CO"/>
        </w:rPr>
        <w:t> tiempo y dinero</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color w:val="2B2B2B"/>
          <w:szCs w:val="24"/>
          <w:lang w:eastAsia="es-CO"/>
        </w:rPr>
        <w:t>Conseguir un </w:t>
      </w:r>
      <w:r w:rsidRPr="004B5F77">
        <w:rPr>
          <w:rFonts w:ascii="Gautami" w:eastAsia="Times New Roman" w:hAnsi="Gautami" w:cs="Gautami"/>
          <w:b/>
          <w:bCs/>
          <w:color w:val="2B2B2B"/>
          <w:szCs w:val="24"/>
          <w:lang w:eastAsia="es-CO"/>
        </w:rPr>
        <w:t>ROI</w:t>
      </w:r>
      <w:r w:rsidRPr="004B5F77">
        <w:rPr>
          <w:rFonts w:ascii="Gautami" w:eastAsia="Times New Roman" w:hAnsi="Gautami" w:cs="Gautami"/>
          <w:color w:val="2B2B2B"/>
          <w:szCs w:val="24"/>
          <w:lang w:eastAsia="es-CO"/>
        </w:rPr>
        <w:t> demostrable</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Beneficios comerciales</w:t>
      </w:r>
    </w:p>
    <w:p w:rsidR="004B5F77" w:rsidRP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ayuda a las organizaciones a implementar la tecnología de software de una manera estructurada y organizada, con un enfoque en la gobernanza y el cumplimiento de los objetivos comerciales. Los enlaces de desarrollo de software entre múltiples departamentos y unidades de negocio, tanto dentro como fuera de TI, </w:t>
      </w: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ayuda a resolver todos los problemas relacionados con la obtención de las partes interesadas clave en la misma página.</w:t>
      </w:r>
    </w:p>
    <w:p w:rsidR="004B5F77" w:rsidRDefault="004B5F77" w:rsidP="00E032F9">
      <w:pPr>
        <w:rPr>
          <w:rFonts w:ascii="Gautami" w:eastAsia="Times New Roman" w:hAnsi="Gautami" w:cs="Gautami"/>
          <w:color w:val="2B2B2B"/>
          <w:szCs w:val="24"/>
          <w:lang w:eastAsia="es-CO"/>
        </w:rPr>
      </w:pP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está destinado a ayudar a crear un enfoque sistemático para agilizar el desarrollo para que pueda ser replicado, con el menor número posible de errores a medida que cada fase del desarrollo cambia de manos. Al crear un lenguaje común que acople las brechas entre las TI y las empresas, ayuda a brindar claridad a todos los involucrados. Es un documento extenso, pero no tiene que adoptar todas las partes de </w:t>
      </w:r>
      <w:r w:rsidRPr="004B5F77">
        <w:rPr>
          <w:rFonts w:ascii="Gautami" w:eastAsia="Times New Roman" w:hAnsi="Gautami" w:cs="Gautami"/>
          <w:b/>
          <w:bCs/>
          <w:color w:val="2B2B2B"/>
          <w:szCs w:val="24"/>
          <w:lang w:eastAsia="es-CO"/>
        </w:rPr>
        <w:t>TOGAF</w:t>
      </w:r>
      <w:r w:rsidRPr="004B5F77">
        <w:rPr>
          <w:rFonts w:ascii="Gautami" w:eastAsia="Times New Roman" w:hAnsi="Gautami" w:cs="Gautami"/>
          <w:color w:val="2B2B2B"/>
          <w:szCs w:val="24"/>
          <w:lang w:eastAsia="es-CO"/>
        </w:rPr>
        <w:t>. Las empresas están mejor que sus necesidades para determinar en qué partes del marco enfocarse.</w:t>
      </w:r>
      <w:sdt>
        <w:sdtPr>
          <w:rPr>
            <w:rFonts w:ascii="Gautami" w:eastAsia="Times New Roman" w:hAnsi="Gautami" w:cs="Gautami"/>
            <w:color w:val="2B2B2B"/>
            <w:szCs w:val="24"/>
            <w:lang w:eastAsia="es-CO"/>
          </w:rPr>
          <w:id w:val="-1082920330"/>
          <w:citation/>
        </w:sdtPr>
        <w:sdtContent>
          <w:r w:rsidR="00E032F9">
            <w:rPr>
              <w:rFonts w:ascii="Gautami" w:eastAsia="Times New Roman" w:hAnsi="Gautami" w:cs="Gautami"/>
              <w:color w:val="2B2B2B"/>
              <w:szCs w:val="24"/>
              <w:lang w:eastAsia="es-CO"/>
            </w:rPr>
            <w:fldChar w:fldCharType="begin"/>
          </w:r>
          <w:r w:rsidR="00E032F9">
            <w:rPr>
              <w:rFonts w:ascii="Gautami" w:eastAsia="Times New Roman" w:hAnsi="Gautami" w:cs="Gautami"/>
              <w:color w:val="2B2B2B"/>
              <w:szCs w:val="24"/>
              <w:lang w:eastAsia="es-CO"/>
            </w:rPr>
            <w:instrText xml:space="preserve"> CITATION Cio \l 9226 </w:instrText>
          </w:r>
          <w:r w:rsidR="00E032F9">
            <w:rPr>
              <w:rFonts w:ascii="Gautami" w:eastAsia="Times New Roman" w:hAnsi="Gautami" w:cs="Gautami"/>
              <w:color w:val="2B2B2B"/>
              <w:szCs w:val="24"/>
              <w:lang w:eastAsia="es-CO"/>
            </w:rPr>
            <w:fldChar w:fldCharType="separate"/>
          </w:r>
          <w:r w:rsidR="00E032F9">
            <w:rPr>
              <w:rFonts w:ascii="Gautami" w:eastAsia="Times New Roman" w:hAnsi="Gautami" w:cs="Gautami"/>
              <w:noProof/>
              <w:color w:val="2B2B2B"/>
              <w:szCs w:val="24"/>
              <w:lang w:eastAsia="es-CO"/>
            </w:rPr>
            <w:t xml:space="preserve"> </w:t>
          </w:r>
          <w:r w:rsidR="00E032F9" w:rsidRPr="00E032F9">
            <w:rPr>
              <w:rFonts w:ascii="Gautami" w:eastAsia="Times New Roman" w:hAnsi="Gautami" w:cs="Gautami"/>
              <w:noProof/>
              <w:color w:val="2B2B2B"/>
              <w:szCs w:val="24"/>
              <w:lang w:eastAsia="es-CO"/>
            </w:rPr>
            <w:t>(Ciospain, s.f.)</w:t>
          </w:r>
          <w:r w:rsidR="00E032F9">
            <w:rPr>
              <w:rFonts w:ascii="Gautami" w:eastAsia="Times New Roman" w:hAnsi="Gautami" w:cs="Gautami"/>
              <w:color w:val="2B2B2B"/>
              <w:szCs w:val="24"/>
              <w:lang w:eastAsia="es-CO"/>
            </w:rPr>
            <w:fldChar w:fldCharType="end"/>
          </w:r>
        </w:sdtContent>
      </w:sdt>
    </w:p>
    <w:sdt>
      <w:sdtPr>
        <w:rPr>
          <w:lang w:val="es-ES"/>
        </w:rPr>
        <w:id w:val="-1967038086"/>
        <w:docPartObj>
          <w:docPartGallery w:val="Bibliographies"/>
          <w:docPartUnique/>
        </w:docPartObj>
      </w:sdtPr>
      <w:sdtEndPr>
        <w:rPr>
          <w:rFonts w:ascii="Times New Roman" w:eastAsiaTheme="minorHAnsi" w:hAnsi="Times New Roman" w:cstheme="minorBidi"/>
          <w:color w:val="auto"/>
          <w:sz w:val="24"/>
          <w:szCs w:val="22"/>
          <w:lang w:val="es-CO" w:eastAsia="en-US"/>
        </w:rPr>
      </w:sdtEndPr>
      <w:sdtContent>
        <w:p w:rsidR="00E032F9" w:rsidRDefault="00E032F9">
          <w:pPr>
            <w:pStyle w:val="Ttulo1"/>
          </w:pPr>
          <w:r>
            <w:rPr>
              <w:lang w:val="es-ES"/>
            </w:rPr>
            <w:t>Bibliografía</w:t>
          </w:r>
        </w:p>
        <w:sdt>
          <w:sdtPr>
            <w:id w:val="111145805"/>
            <w:bibliography/>
          </w:sdtPr>
          <w:sdtContent>
            <w:p w:rsidR="00E032F9" w:rsidRDefault="00E032F9" w:rsidP="00E032F9">
              <w:pPr>
                <w:pStyle w:val="Bibliografa"/>
                <w:ind w:left="720" w:hanging="720"/>
                <w:rPr>
                  <w:noProof/>
                  <w:szCs w:val="24"/>
                  <w:lang w:val="es-ES"/>
                </w:rPr>
              </w:pPr>
              <w:r>
                <w:fldChar w:fldCharType="begin"/>
              </w:r>
              <w:r>
                <w:instrText>BIBLIOGRAPHY</w:instrText>
              </w:r>
              <w:r>
                <w:fldChar w:fldCharType="separate"/>
              </w:r>
              <w:r>
                <w:rPr>
                  <w:noProof/>
                  <w:lang w:val="es-ES"/>
                </w:rPr>
                <w:t>(s.f.). Obtenido de https://documentos.redclara.net/bitstream/10786/1281/1/105%20Gesti%C3%B3n%20de%20Requerimientos%20a%20trav%C3%A9s%20del%20Modelo%20de%20F%C3%A1brica%20de%20Software%20aplicando%20Metodolog%C3%ADas%20%C3%81giles.pdf</w:t>
              </w:r>
            </w:p>
            <w:p w:rsidR="00E032F9" w:rsidRDefault="00E032F9" w:rsidP="00E032F9">
              <w:pPr>
                <w:pStyle w:val="Bibliografa"/>
                <w:ind w:left="720" w:hanging="720"/>
                <w:rPr>
                  <w:noProof/>
                  <w:lang w:val="es-ES"/>
                </w:rPr>
              </w:pPr>
              <w:r>
                <w:rPr>
                  <w:i/>
                  <w:iCs/>
                  <w:noProof/>
                  <w:lang w:val="es-ES"/>
                </w:rPr>
                <w:t>Ciospain</w:t>
              </w:r>
              <w:r>
                <w:rPr>
                  <w:noProof/>
                  <w:lang w:val="es-ES"/>
                </w:rPr>
                <w:t>. (s.f.). Obtenido de https://www.ciospain.es/finanzas/que-es-togaf-una-metodologia-de-arquitectura-empresarial-para-negocios#:~:text=El%20Open%20Group%20Architecture%20Framework,el%20desarrollo%20de%20software%20empresarial.</w:t>
              </w:r>
            </w:p>
            <w:p w:rsidR="00E032F9" w:rsidRDefault="00E032F9" w:rsidP="00E032F9">
              <w:r>
                <w:rPr>
                  <w:b/>
                  <w:bCs/>
                </w:rPr>
                <w:fldChar w:fldCharType="end"/>
              </w:r>
            </w:p>
          </w:sdtContent>
        </w:sdt>
      </w:sdtContent>
    </w:sdt>
    <w:p w:rsidR="00E032F9" w:rsidRDefault="00E032F9" w:rsidP="00E032F9">
      <w:pPr>
        <w:rPr>
          <w:rFonts w:ascii="Gautami" w:eastAsia="Times New Roman" w:hAnsi="Gautami" w:cs="Gautami"/>
          <w:color w:val="2B2B2B"/>
          <w:szCs w:val="24"/>
          <w:lang w:eastAsia="es-CO"/>
        </w:rPr>
      </w:pPr>
      <w:bookmarkStart w:id="0" w:name="_GoBack"/>
      <w:bookmarkEnd w:id="0"/>
    </w:p>
    <w:p w:rsidR="00E032F9" w:rsidRDefault="00E032F9" w:rsidP="00E032F9">
      <w:pPr>
        <w:rPr>
          <w:rFonts w:ascii="Gautami" w:eastAsia="Times New Roman" w:hAnsi="Gautami" w:cs="Gautami"/>
          <w:color w:val="2B2B2B"/>
          <w:szCs w:val="24"/>
          <w:lang w:eastAsia="es-CO"/>
        </w:rPr>
      </w:pPr>
    </w:p>
    <w:p w:rsidR="00E032F9" w:rsidRPr="004B5F77" w:rsidRDefault="00E032F9" w:rsidP="00E032F9">
      <w:pPr>
        <w:rPr>
          <w:rFonts w:ascii="Gautami" w:eastAsia="Times New Roman" w:hAnsi="Gautami" w:cs="Gautami"/>
          <w:color w:val="2B2B2B"/>
          <w:szCs w:val="24"/>
          <w:lang w:eastAsia="es-CO"/>
        </w:rPr>
      </w:pPr>
    </w:p>
    <w:p w:rsidR="00980CE5" w:rsidRDefault="00980CE5" w:rsidP="00E032F9"/>
    <w:sectPr w:rsidR="00980C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78A" w:rsidRDefault="00DC678A" w:rsidP="004B5F77">
      <w:pPr>
        <w:spacing w:after="0" w:line="240" w:lineRule="auto"/>
      </w:pPr>
      <w:r>
        <w:separator/>
      </w:r>
    </w:p>
  </w:endnote>
  <w:endnote w:type="continuationSeparator" w:id="0">
    <w:p w:rsidR="00DC678A" w:rsidRDefault="00DC678A" w:rsidP="004B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78A" w:rsidRDefault="00DC678A" w:rsidP="004B5F77">
      <w:pPr>
        <w:spacing w:after="0" w:line="240" w:lineRule="auto"/>
      </w:pPr>
      <w:r>
        <w:separator/>
      </w:r>
    </w:p>
  </w:footnote>
  <w:footnote w:type="continuationSeparator" w:id="0">
    <w:p w:rsidR="00DC678A" w:rsidRDefault="00DC678A" w:rsidP="004B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EED"/>
    <w:multiLevelType w:val="multilevel"/>
    <w:tmpl w:val="442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21E1E"/>
    <w:multiLevelType w:val="multilevel"/>
    <w:tmpl w:val="337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22277"/>
    <w:multiLevelType w:val="hybridMultilevel"/>
    <w:tmpl w:val="EA4AAA6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21FB525B"/>
    <w:multiLevelType w:val="multilevel"/>
    <w:tmpl w:val="4E2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D4F7A"/>
    <w:multiLevelType w:val="multilevel"/>
    <w:tmpl w:val="6A7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74222"/>
    <w:multiLevelType w:val="multilevel"/>
    <w:tmpl w:val="CF24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E5"/>
    <w:rsid w:val="004B5F77"/>
    <w:rsid w:val="00980CE5"/>
    <w:rsid w:val="00DC678A"/>
    <w:rsid w:val="00E032F9"/>
    <w:rsid w:val="00F23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F70B"/>
  <w15:chartTrackingRefBased/>
  <w15:docId w15:val="{256AC27C-76E0-4BE4-833D-B7399688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E5"/>
    <w:pPr>
      <w:spacing w:line="360" w:lineRule="auto"/>
    </w:pPr>
    <w:rPr>
      <w:rFonts w:ascii="Times New Roman" w:hAnsi="Times New Roman"/>
      <w:sz w:val="24"/>
    </w:rPr>
  </w:style>
  <w:style w:type="paragraph" w:styleId="Ttulo1">
    <w:name w:val="heading 1"/>
    <w:basedOn w:val="Normal"/>
    <w:next w:val="Normal"/>
    <w:link w:val="Ttulo1Car"/>
    <w:uiPriority w:val="9"/>
    <w:qFormat/>
    <w:rsid w:val="00E032F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0CE5"/>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980CE5"/>
    <w:rPr>
      <w:b/>
      <w:bCs/>
    </w:rPr>
  </w:style>
  <w:style w:type="paragraph" w:customStyle="1" w:styleId="lastitem">
    <w:name w:val="lastitem"/>
    <w:basedOn w:val="Normal"/>
    <w:rsid w:val="00980CE5"/>
    <w:pPr>
      <w:spacing w:before="100" w:beforeAutospacing="1" w:after="100" w:afterAutospacing="1" w:line="240" w:lineRule="auto"/>
    </w:pPr>
    <w:rPr>
      <w:rFonts w:eastAsia="Times New Roman" w:cs="Times New Roman"/>
      <w:szCs w:val="24"/>
      <w:lang w:eastAsia="es-CO"/>
    </w:rPr>
  </w:style>
  <w:style w:type="character" w:styleId="nfasis">
    <w:name w:val="Emphasis"/>
    <w:basedOn w:val="Fuentedeprrafopredeter"/>
    <w:uiPriority w:val="20"/>
    <w:qFormat/>
    <w:rsid w:val="00980CE5"/>
    <w:rPr>
      <w:i/>
      <w:iCs/>
    </w:rPr>
  </w:style>
  <w:style w:type="paragraph" w:customStyle="1" w:styleId="firstitem">
    <w:name w:val="firstitem"/>
    <w:basedOn w:val="Normal"/>
    <w:rsid w:val="00980CE5"/>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semiHidden/>
    <w:unhideWhenUsed/>
    <w:rsid w:val="00980CE5"/>
    <w:rPr>
      <w:color w:val="0000FF"/>
      <w:u w:val="single"/>
    </w:rPr>
  </w:style>
  <w:style w:type="paragraph" w:styleId="Encabezado">
    <w:name w:val="header"/>
    <w:basedOn w:val="Normal"/>
    <w:link w:val="EncabezadoCar"/>
    <w:uiPriority w:val="99"/>
    <w:unhideWhenUsed/>
    <w:rsid w:val="004B5F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F77"/>
    <w:rPr>
      <w:rFonts w:ascii="Times New Roman" w:hAnsi="Times New Roman"/>
      <w:sz w:val="24"/>
    </w:rPr>
  </w:style>
  <w:style w:type="paragraph" w:styleId="Piedepgina">
    <w:name w:val="footer"/>
    <w:basedOn w:val="Normal"/>
    <w:link w:val="PiedepginaCar"/>
    <w:uiPriority w:val="99"/>
    <w:unhideWhenUsed/>
    <w:rsid w:val="004B5F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F77"/>
    <w:rPr>
      <w:rFonts w:ascii="Times New Roman" w:hAnsi="Times New Roman"/>
      <w:sz w:val="24"/>
    </w:rPr>
  </w:style>
  <w:style w:type="character" w:customStyle="1" w:styleId="Ttulo1Car">
    <w:name w:val="Título 1 Car"/>
    <w:basedOn w:val="Fuentedeprrafopredeter"/>
    <w:link w:val="Ttulo1"/>
    <w:uiPriority w:val="9"/>
    <w:rsid w:val="00E032F9"/>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E0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6866">
      <w:bodyDiv w:val="1"/>
      <w:marLeft w:val="0"/>
      <w:marRight w:val="0"/>
      <w:marTop w:val="0"/>
      <w:marBottom w:val="0"/>
      <w:divBdr>
        <w:top w:val="none" w:sz="0" w:space="0" w:color="auto"/>
        <w:left w:val="none" w:sz="0" w:space="0" w:color="auto"/>
        <w:bottom w:val="none" w:sz="0" w:space="0" w:color="auto"/>
        <w:right w:val="none" w:sz="0" w:space="0" w:color="auto"/>
      </w:divBdr>
    </w:div>
    <w:div w:id="452673499">
      <w:bodyDiv w:val="1"/>
      <w:marLeft w:val="0"/>
      <w:marRight w:val="0"/>
      <w:marTop w:val="0"/>
      <w:marBottom w:val="0"/>
      <w:divBdr>
        <w:top w:val="none" w:sz="0" w:space="0" w:color="auto"/>
        <w:left w:val="none" w:sz="0" w:space="0" w:color="auto"/>
        <w:bottom w:val="none" w:sz="0" w:space="0" w:color="auto"/>
        <w:right w:val="none" w:sz="0" w:space="0" w:color="auto"/>
      </w:divBdr>
    </w:div>
    <w:div w:id="1711881460">
      <w:bodyDiv w:val="1"/>
      <w:marLeft w:val="0"/>
      <w:marRight w:val="0"/>
      <w:marTop w:val="0"/>
      <w:marBottom w:val="0"/>
      <w:divBdr>
        <w:top w:val="none" w:sz="0" w:space="0" w:color="auto"/>
        <w:left w:val="none" w:sz="0" w:space="0" w:color="auto"/>
        <w:bottom w:val="none" w:sz="0" w:space="0" w:color="auto"/>
        <w:right w:val="none" w:sz="0" w:space="0" w:color="auto"/>
      </w:divBdr>
    </w:div>
    <w:div w:id="1771317386">
      <w:bodyDiv w:val="1"/>
      <w:marLeft w:val="0"/>
      <w:marRight w:val="0"/>
      <w:marTop w:val="0"/>
      <w:marBottom w:val="0"/>
      <w:divBdr>
        <w:top w:val="none" w:sz="0" w:space="0" w:color="auto"/>
        <w:left w:val="none" w:sz="0" w:space="0" w:color="auto"/>
        <w:bottom w:val="none" w:sz="0" w:space="0" w:color="auto"/>
        <w:right w:val="none" w:sz="0" w:space="0" w:color="auto"/>
      </w:divBdr>
    </w:div>
    <w:div w:id="1936748193">
      <w:bodyDiv w:val="1"/>
      <w:marLeft w:val="0"/>
      <w:marRight w:val="0"/>
      <w:marTop w:val="0"/>
      <w:marBottom w:val="0"/>
      <w:divBdr>
        <w:top w:val="none" w:sz="0" w:space="0" w:color="auto"/>
        <w:left w:val="none" w:sz="0" w:space="0" w:color="auto"/>
        <w:bottom w:val="none" w:sz="0" w:space="0" w:color="auto"/>
        <w:right w:val="none" w:sz="0" w:space="0" w:color="auto"/>
      </w:divBdr>
    </w:div>
    <w:div w:id="20033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axisframework.org/es/knowledge/configuration-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axisframework.org/es/knowledge/change-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xisframework.org/es/knowledge/benefits-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axisframework.org/es/knowledge/solutions-development" TargetMode="External"/><Relationship Id="rId4" Type="http://schemas.openxmlformats.org/officeDocument/2006/relationships/settings" Target="settings.xml"/><Relationship Id="rId9" Type="http://schemas.openxmlformats.org/officeDocument/2006/relationships/hyperlink" Target="https://www.praxisframework.org/es/knowledge/requirements-management"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Cio</b:Tag>
    <b:SourceType>InternetSite</b:SourceType>
    <b:Guid>{B3209D93-3EF6-4CEF-8229-A7B0219E9CDA}</b:Guid>
    <b:Title>Ciospain</b:Title>
    <b:URL>https://www.ciospain.es/finanzas/que-es-togaf-una-metodologia-de-arquitectura-empresarial-para-negocios#:~:text=El%20Open%20Group%20Architecture%20Framework,el%20desarrollo%20de%20software%20empresarial.</b:URL>
    <b:RefOrder>2</b:RefOrder>
  </b:Source>
  <b:Source>
    <b:Tag>htt</b:Tag>
    <b:SourceType>InternetSite</b:SourceType>
    <b:Guid>{92914E05-5B33-4BAF-B6C1-D9C3B121C0FB}</b:Guid>
    <b:URL>https://documentos.redclara.net/bitstream/10786/1281/1/105%20Gesti%C3%B3n%20de%20Requerimientos%20a%20trav%C3%A9s%20del%20Modelo%20de%20F%C3%A1brica%20de%20Software%20aplicando%20Metodolog%C3%ADas%20%C3%81giles.pdf</b:URL>
    <b:RefOrder>1</b:RefOrder>
  </b:Source>
</b:Sources>
</file>

<file path=customXml/itemProps1.xml><?xml version="1.0" encoding="utf-8"?>
<ds:datastoreItem xmlns:ds="http://schemas.openxmlformats.org/officeDocument/2006/customXml" ds:itemID="{0263FD66-8C2D-4220-8F51-1B011830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Monroy Guzman</dc:creator>
  <cp:keywords/>
  <dc:description/>
  <cp:lastModifiedBy>Carlos Eduardo Monroy Guzman</cp:lastModifiedBy>
  <cp:revision>1</cp:revision>
  <dcterms:created xsi:type="dcterms:W3CDTF">2020-11-04T20:29:00Z</dcterms:created>
  <dcterms:modified xsi:type="dcterms:W3CDTF">2020-11-04T22:54:00Z</dcterms:modified>
</cp:coreProperties>
</file>