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screen printing for U.S. brands (Disney, Fanatics, Columbia); joint TID + VSP coverage from the border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2"/>
      </w:pPr>
      <w:r>
        <w:t xml:space="preserve">Priority accounts: the 80/20 rule</w:t>
      </w:r>
    </w:p>
    <w:p>
      <w:pPr>
        <w:spacing w:after="160"/>
      </w:pPr>
      <w:r>
        <w:t xml:space="preserve">Out of the 82 prospects identified in Mexico (47 printers and manufacturers, and 35 OEMs and contract manufacturers), we selected the top 20% by potential: production volume, in-house decoration, exports and fit with the hybrid line. These 17 accounts will receive 80% of the first-year sales effort (visits, demos and tests on their own fabric).</w:t>
      </w:r>
    </w:p>
    <w:p>
      <w:pPr>
        <w:pStyle w:val="Heading2"/>
      </w:pPr>
      <w:r>
        <w:t xml:space="preserve">Priority prospects: printers and manufacturers (9 of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130,000+ pcs/week, up to 18 colors, production for the U.S. and Canada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Automated volume screen printing: campaigns, sportswear and promo;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Integrated yarn-to-garment plant; high-volume campaign and promo T-shirts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 and promo T-shirts in a 5,000 m² automated plant; exports to the U.S.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Sportswear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Large-scale T-shirts and hoodies with in-house screen, sublimation and embroidery; 25+ years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(plastisol, water-based, discharge), DTF and sublimation for factories and brands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High-volume textile maker; uniforms (directory cites FIFA uniforms)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and sportswear</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with screen, embroidery and transfer; volume print contracting;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 brand: jerseys and licensed apparel for Liga MX clubs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Sportswear / licensing</w:t>
            </w:r>
          </w:p>
        </w:tc>
      </w:tr>
    </w:tbl>
    <w:p>
      <w:pPr>
        <w:spacing w:after="120"/>
      </w:pPr>
    </w:p>
    <w:p>
      <w:pPr>
        <w:pStyle w:val="Heading2"/>
      </w:pPr>
      <w:r>
        <w:t xml:space="preserve">Priority OEMs: export contract manufacturing (8 of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Brands and customers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with in-house screen printing and embroidery; 16–25 million garments a year</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for retail and licensing: ~50,000 prints/day, ~538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Mass printing and sewing; 1,200–1,300 workers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 printing plant for licensed T-shirts for U.S. retail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Garment printing, flatbed screen printing and dyeing in two plants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Full package with flatbed screen printing, dyeing and washing; 702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Vertical knit (knitting, dyeing, finishing, printing) for fast fashion; 35+ years exporting</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RMC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Linares, N.L.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Vertical plant with printing, sublimation, embroidery, cut and sew; 336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Under Armour, Nordstrom</w:t>
            </w:r>
          </w:p>
        </w:tc>
      </w:tr>
    </w:tbl>
    <w:p>
      <w:pPr>
        <w:spacing w:after="120"/>
      </w:pPr>
    </w:p>
    <w:p>
      <w:pPr>
        <w:spacing w:after="160"/>
      </w:pPr>
      <w:r>
        <w:t xml:space="preserve">Next tier (OEM): Grumax / BEX Bordados y Estampados (Xalapa), California Cutting &amp; Sewing (Puebla), Confecciones Clabeck / JHK (Tlalnepantla; audited by Inditex and C&amp;A), Private Label Tehuacán (PVH, J.Crew, L.L.Bean), Industrias Manufactureras MYR (adidas, Puma; Mexico national team jerseys), Augusta Sportswear de México (Fanatics), Zentrix (Nike, Lululemon) and Baja Skiva Screen Printing (Disney).</w:t>
      </w:r>
    </w:p>
    <w:p>
      <w:pPr>
        <w:spacing w:after="200" w:before="80"/>
      </w:pPr>
      <w:r>
        <w:rPr>
          <w:i/>
          <w:iCs/>
          <w:color w:val="555555"/>
          <w:sz w:val="18"/>
          <w:szCs w:val="18"/>
        </w:rPr>
        <w:t xml:space="preserve">Sources: company websites, Open Supply Hub and industry directories. Brands and customers per public sources; to be confirmed at the first visit.</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and local distributors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of CLT’s PRINTING United 2026 booth (Las Vegas), taken by VSP Printing during its meeting with CLT,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2026-10-08T04:48:14.986Z</dcterms:created>
  <dcterms:modified xsi:type="dcterms:W3CDTF">2026-10-08T04:48:14.986Z</dcterms:modified>
</cp:coreProperties>
</file>

<file path=docProps/custom.xml><?xml version="1.0" encoding="utf-8"?>
<Properties xmlns="http://schemas.openxmlformats.org/officeDocument/2006/custom-properties" xmlns:vt="http://schemas.openxmlformats.org/officeDocument/2006/docPropsVTypes"/>
</file>