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de exportación para marcas de EE. UU. (Disney, Fanatics, Columbia); cobertura conjunta TID + VSP desde la frontera</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2"/>
      </w:pPr>
      <w:r>
        <w:t xml:space="preserve">Cuentas prioritarias: regla 80/20</w:t>
      </w:r>
    </w:p>
    <w:p>
      <w:pPr>
        <w:spacing w:after="160"/>
      </w:pPr>
      <w:r>
        <w:t xml:space="preserve">De los 82 prospectos identificados en México (47 estampadores y fabricantes, y 35 OEM y maquiladoras), seleccionamos el 20% con mayor potencial: volumen de producción, decoración propia, exportación y encaje con la línea híbrida. Estas 17 cuentas recibirán el 80% del esfuerzo comercial del primer año (visitas, demostraciones y pruebas con su tela).</w:t>
      </w:r>
    </w:p>
    <w:p>
      <w:pPr>
        <w:pStyle w:val="Heading2"/>
      </w:pPr>
      <w:r>
        <w:t xml:space="preserve">Prospectos prioritarios: estampadores y fabricantes (9 de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130,000+ piezas/semana, hasta 18 tintas, producción para EE. UU. y Canadá</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automatizada por volumen: campañas, deportivo y promocional;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Fábrica integrada de hilo a prenda; playeras de campaña y publicitarias de alto volumen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deportivas y publicitarias en nave automatizada de 5,000 m²; exporta a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Ropa deportiva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y sudaderas a gran escala con serigrafía, sublimación y bordado propios; 25+ años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(plastisol, base agua, corrosión), DTF y sublimación para fábricas y marcas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textil de gran volumen; uniformes (el directorio menciona uniformes FIFA)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y deportivo</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con serigrafía, bordado y transfer; maquila de estampado por volumen;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Marca deportiva: jerseys y licencias de clubes de Liga MX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Ropa deportiva / licencias</w:t>
            </w:r>
          </w:p>
        </w:tc>
      </w:tr>
    </w:tbl>
    <w:p>
      <w:pPr>
        <w:spacing w:after="120"/>
      </w:pPr>
    </w:p>
    <w:p>
      <w:pPr>
        <w:pStyle w:val="Heading2"/>
      </w:pPr>
      <w:r>
        <w:t xml:space="preserve">OEM prioritarios: maquila de exportación (8 de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Marcas y clientes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con serigrafía y bordado internos; 16–25 millones de prendas al año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por contrato para retail y licencias: ~50,000 impresiones/día, ~538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masivo y confección; 1,200–1,300 trabajadores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Planta de serigrafía de playeras licenciadas para retail de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de prendas, serigrafía plana y teñido en dos plantas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completo con serigrafía plana, teñido y lavado; 702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Punto vertical (tejido, teñido, acabado y estampado) para fast fashion; 35+ años exportando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RMC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Linares, N.L.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Planta vertical con estampado, sublimación, bordado, corte y costura; 336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Under Armour, Nordstrom</w:t>
            </w:r>
          </w:p>
        </w:tc>
      </w:tr>
    </w:tbl>
    <w:p>
      <w:pPr>
        <w:spacing w:after="120"/>
      </w:pPr>
    </w:p>
    <w:p>
      <w:pPr>
        <w:spacing w:after="160"/>
      </w:pPr>
      <w:r>
        <w:t xml:space="preserve">Siguiente nivel (OEM): Grumax / BEX Bordados y Estampados (Xalapa), California Cutting &amp; Sewing (Puebla), Confecciones Clabeck / JHK (Tlalnepantla; auditada por Inditex y C&amp;A), Private Label Tehuacán (PVH, J.Crew, L.L.Bean), Industrias Manufactureras MYR (adidas, Puma; jerseys de la Selección Mexicana), Augusta Sportswear de México (Fanatics), Zentrix (Nike, Lululemon) y Baja Skiva Screen Printing (Disney).</w:t>
      </w:r>
    </w:p>
    <w:p>
      <w:pPr>
        <w:spacing w:after="200" w:before="80"/>
      </w:pPr>
      <w:r>
        <w:rPr>
          <w:i/>
          <w:iCs/>
          <w:color w:val="555555"/>
          <w:sz w:val="18"/>
          <w:szCs w:val="18"/>
        </w:rPr>
        <w:t xml:space="preserve">Fuentes: sitios web de cada empresa, Open Supply Hub y directorios industriales. Marcas y clientes según fuentes públicas; confirmar en la primera visita.</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y marcas económicas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2"/>
      </w:pPr>
      <w:r>
        <w:t xml:space="preserve">Competidores en tintas, pastas y siliconas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 (origen)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Presencia en México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Precio de referencia</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(EE. UU.)</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y distribuidores; estándar en maquila de exportación</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 ~US$40–60/galón en colores de mezcla; especialidades US$90–310/galón (tiendas de EE. UU.)</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OEM</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(México)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con red de distribuidores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Bajo: MXN 159–217/kg al menudeo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talleres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(Japón)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referencia en base agua y descarga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Medio-alto; bases desde ~US$8–9/kg en Centroamérica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Media-alta</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(EE. UU.)</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Importación vía distribuidores de EE. UU.</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y otros; fuerte en gráfica, tampografía y digital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textil limitado (nylon, sintéticos)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(Alemania)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(distribuidor)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tintas industriales para plástico, vidrio y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Filial en México; máquinas y tintas de tampografía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solo etiquetas sin costura (tagless)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Marcas nacionales económicas: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Menudeo, Mercado Libre, tiendas de serigrafía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Muy bajo: galón de blanco plastisol ~MXN 790</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 en talleres chicos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Venta en línea sin servicio local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Muy bajo: silicona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Media: mismo origen que CLT</w:t>
            </w:r>
          </w:p>
        </w:tc>
      </w:tr>
    </w:tbl>
    <w:p>
      <w:pPr>
        <w:spacing w:after="120"/>
      </w:pPr>
    </w:p>
    <w:p>
      <w:pPr>
        <w:spacing w:after="200" w:before="80"/>
      </w:pPr>
      <w:r>
        <w:rPr>
          <w:i/>
          <w:iCs/>
          <w:color w:val="555555"/>
          <w:sz w:val="18"/>
          <w:szCs w:val="18"/>
        </w:rPr>
        <w:t xml:space="preserve">Comex no fabrica tintas para serigrafía textil: es una marca de pinturas arquitectónicas. Precios públicos de octubre de 2026, solo como referencia; el precio de CLT para México está por confirmar.</w:t>
      </w:r>
    </w:p>
    <w:p>
      <w:pPr>
        <w:pStyle w:val="Heading2"/>
      </w:pPr>
      <w:r>
        <w:t xml:space="preserve">FODA por competidor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Competidor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 para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 para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Marca global; tintas certificadas y aprobadas por marcas; gama completa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alto; importado; especialidades muy caras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Siliconas y efectos especiales a menor precio; base agua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marcas de exportación ya tienen tintas aprobadas: cambiar es lento</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precio bajo; red de distribución; siliconas Siltex</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vende máquinas ni línea híbrida; enfoque en mercado nacional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llave en mano: máquina + química + servicio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consumibles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Referencia en base agua, descarga y especialidades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Importado; precio medio-alto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pastas base agua son el 54% de las ventas de CLT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Ya está dentro de maquilas y talleres grandes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alemana; fuertes en gráfica, tampografía e industria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Poca oferta para estampado de prenda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compiten de frente en ropa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Nicho de etiquetas sin costura y sintéticos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Marcas económicas nacionales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muy bajo; disponibles en cualquier tienda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variable; sin certificaciones ni soporte técnico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Talleres que crecen y necesitan calidad constante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talleres chicos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 más bajo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Sin servicio, sin inventario local, sin garantía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Servicio local, inventario y técnicos en español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Mismo origen: el cliente compara precio contra CLT</w:t>
            </w:r>
          </w:p>
        </w:tc>
      </w:tr>
    </w:tbl>
    <w:p>
      <w:pPr>
        <w:spacing w:after="120"/>
      </w:pPr>
    </w:p>
    <w:p>
      <w:pPr>
        <w:pStyle w:val="Heading2"/>
      </w:pPr>
      <w:r>
        <w:t xml:space="preserve">FODA de nuestra posición frente a la competencia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Única oferta llave en mano: máquina híbrida + química + servicio</w:t>
            </w:r>
          </w:p>
          <w:p>
            <w:pPr>
              <w:keepNext w:val="false"/>
              <w:spacing w:after="60"/>
            </w:pPr>
            <w:r>
              <w:rPr>
                <w:rFonts w:ascii="Calibri" w:cs="Calibri" w:eastAsia="Calibri" w:hAnsi="Calibri"/>
                <w:b/>
                <w:bCs/>
                <w:sz w:val="19"/>
                <w:szCs w:val="19"/>
              </w:rPr>
              <w:t xml:space="preserve">• Química CLT de menor precio que las marcas premium</w:t>
            </w:r>
          </w:p>
          <w:p>
            <w:pPr>
              <w:keepNext w:val="false"/>
              <w:spacing w:after="60"/>
            </w:pPr>
            <w:r>
              <w:rPr>
                <w:rFonts w:ascii="Calibri" w:cs="Calibri" w:eastAsia="Calibri" w:hAnsi="Calibri"/>
                <w:b/>
                <w:bCs/>
                <w:sz w:val="19"/>
                <w:szCs w:val="19"/>
              </w:rPr>
              <w:t xml:space="preserve">• Servicio en México y EE. UU.; importación propia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Marca CLT poco conocida en México</w:t>
            </w:r>
          </w:p>
          <w:p>
            <w:pPr>
              <w:keepNext w:val="false"/>
              <w:spacing w:after="60"/>
            </w:pPr>
            <w:r>
              <w:rPr>
                <w:rFonts w:ascii="Calibri" w:cs="Calibri" w:eastAsia="Calibri" w:hAnsi="Calibri"/>
                <w:b w:val="false"/>
                <w:bCs w:val="false"/>
                <w:sz w:val="19"/>
                <w:szCs w:val="19"/>
              </w:rPr>
              <w:t xml:space="preserve">• Sin aprobaciones de marcas de exportación todavía</w:t>
            </w:r>
          </w:p>
          <w:p>
            <w:pPr>
              <w:keepNext w:val="false"/>
              <w:spacing w:after="60"/>
            </w:pPr>
            <w:r>
              <w:rPr>
                <w:rFonts w:ascii="Calibri" w:cs="Calibri" w:eastAsia="Calibri" w:hAnsi="Calibri"/>
                <w:b w:val="false"/>
                <w:bCs w:val="false"/>
                <w:sz w:val="19"/>
                <w:szCs w:val="19"/>
              </w:rPr>
              <w:t xml:space="preserve">• Equipo textil por formar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Aranceles 2026 a China en prendas: más producción local</w:t>
            </w:r>
          </w:p>
          <w:p>
            <w:pPr>
              <w:keepNext w:val="false"/>
              <w:spacing w:after="60"/>
            </w:pPr>
            <w:r>
              <w:rPr>
                <w:rFonts w:ascii="Calibri" w:cs="Calibri" w:eastAsia="Calibri" w:hAnsi="Calibri"/>
                <w:b/>
                <w:bCs/>
                <w:sz w:val="19"/>
                <w:szCs w:val="19"/>
              </w:rPr>
              <w:t xml:space="preserve">• OEM de exportación buscan efectos de alto valor</w:t>
            </w:r>
          </w:p>
          <w:p>
            <w:pPr>
              <w:keepNext w:val="false"/>
              <w:spacing w:after="60"/>
            </w:pPr>
            <w:r>
              <w:rPr>
                <w:rFonts w:ascii="Calibri" w:cs="Calibri" w:eastAsia="Calibri" w:hAnsi="Calibri"/>
                <w:b/>
                <w:bCs/>
                <w:sz w:val="19"/>
                <w:szCs w:val="19"/>
              </w:rPr>
              <w:t xml:space="preserve">• Siliconas y efectos especiales con poca oferta local</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atado a las listas de tintas aprobadas de las marcas</w:t>
            </w:r>
          </w:p>
          <w:p>
            <w:pPr>
              <w:keepNext w:val="false"/>
              <w:spacing w:after="60"/>
            </w:pPr>
            <w:r>
              <w:rPr>
                <w:rFonts w:ascii="Calibri" w:cs="Calibri" w:eastAsia="Calibri" w:hAnsi="Calibri"/>
                <w:b w:val="false"/>
                <w:bCs w:val="false"/>
                <w:sz w:val="19"/>
                <w:szCs w:val="19"/>
              </w:rPr>
              <w:t xml:space="preserve">• Precio bajo de ScreenTec y de marcas económicas nacionales</w:t>
            </w:r>
          </w:p>
          <w:p>
            <w:pPr>
              <w:keepNext w:val="false"/>
              <w:spacing w:after="60"/>
            </w:pPr>
            <w:r>
              <w:rPr>
                <w:rFonts w:ascii="Calibri" w:cs="Calibri" w:eastAsia="Calibri" w:hAnsi="Calibri"/>
                <w:b w:val="false"/>
                <w:bCs w:val="false"/>
                <w:sz w:val="19"/>
                <w:szCs w:val="19"/>
              </w:rPr>
              <w:t xml:space="preserve">• DTF en tirajes cortos</w:t>
            </w:r>
          </w:p>
          <w:p>
            <w:pPr>
              <w:keepNext w:val="false"/>
              <w:spacing w:after="60"/>
            </w:pPr>
            <w:r>
              <w:rPr>
                <w:rFonts w:ascii="Calibri" w:cs="Calibri" w:eastAsia="Calibri" w:hAnsi="Calibri"/>
                <w:b w:val="false"/>
                <w:bCs w:val="false"/>
                <w:sz w:val="19"/>
                <w:szCs w:val="19"/>
              </w:rPr>
              <w:t xml:space="preserve">• Aranceles a insumos chinos</w:t>
            </w:r>
          </w:p>
        </w:tc>
      </w:tr>
    </w:tbl>
    <w:p>
      <w:pPr>
        <w:spacing w:after="120"/>
      </w:pPr>
    </w:p>
    <w:p>
      <w:pPr>
        <w:spacing w:after="160"/>
      </w:pPr>
      <w:r>
        <w:t xml:space="preserve">¿Son muy caras para competir? Las marcas premium (Avient, Matsui, Marabu, RUCO) cuestan más que la química china: ahí CLT compite por precio, pero debe ganar las aprobaciones de las marcas para entrar a la maquila. La competencia de precio real está en Grupo Sánchez / ScreenTec, las marcas económicas nacionales y los proveedores chinos directos; contra ellos el argumento es el paquete con máquina, servicio y soporte técnico.</w:t>
      </w: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r>
        <w:br w:type="page"/>
      </w:r>
    </w:p>
    <w:p>
      <w:pPr>
        <w:pStyle w:val="Heading1"/>
      </w:pPr>
      <w:r>
        <w:t xml:space="preserve">Anexo: muestras de CLT</w:t>
      </w:r>
    </w:p>
    <w:p>
      <w:pPr>
        <w:spacing w:after="160"/>
      </w:pPr>
      <w:r>
        <w:t xml:space="preserve">Fotografías del stand de CLT en PRINTING United 2026 (Las Vegas), tomadas por VSP Printing durante su reunión con CLT, y de muestras de producción de CLT.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 name="06-stand-printing-united.jpg" descr="Stand C3397: pulpo automático con estación digital en operación" title="Stand C3397: pulpo automático con estación digital en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Stand C3397: pulpo automático con estación digital en operación</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 name="08-folleto-clt.jpg" descr="Folleto corporativo de CLT (clave 301618)" title="Folleto corporativo de CLT (clav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Folleto corporativo de CLT (clave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3" name="01-vineyard.jpg" descr="Acuarela digital sobre base blanca en prenda de color" title="Acuarela digital sobre base blanca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Acuarela digital sobre base blanca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4" name="02-perro.jpg" descr="Fotorrealismo digital sobre prenda oscura" title="Fotorrealismo digital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Fotorrealismo digital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5" name="03-living.jpg" descr="Collage fotográfico a todo color" title="Collage fotográfico a tod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Collage fotográfico a todo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6" name="10-aguila.jpg" descr="Impresión digital transpirable sobre prenda oscura" title="Impresión digital transpirable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Impresión digital transpirable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7" name="04-clt-pastas.jpg" descr="Pastas CLT: alto relieve 511-1, espumante MP399, foil en frío 105-3" title="Pastas CLT: alto relieve 511-1, espumante MP399, foil en frío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Pastas CLT: alto relieve 511-1, espumante MP399, foil en frío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8" name="05-escudo.jpg" descr="Escudo deportivo con relieve y brillo en poliéster" title="Escudo deportivo con relieve y brillo en polié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Escudo deportivo con relieve y brillo en poliéster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9" name="07-tigre.jpg" descr="Serigrafía de tintas planas en prenda de color" title="Serigrafía de tintas planas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Serigrafía de tintas planas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0" name="09-huskies.jpg" descr="Relieve, foil dorado y destellos metálicos combinados" title="Relieve, foil dorado y destellos metálicos comb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Relieve, foil dorado y destellos metálicos combinados</w:t>
            </w:r>
          </w:p>
        </w:tc>
      </w:tr>
    </w:tbl>
    <w:p>
      <w:pPr>
        <w:spacing w:after="200" w:before="80"/>
      </w:pPr>
      <w:r>
        <w:rPr>
          <w:i/>
          <w:iCs/>
          <w:color w:val="555555"/>
          <w:sz w:val="18"/>
          <w:szCs w:val="18"/>
        </w:rPr>
        <w:t xml:space="preserve">Las técnicas indicadas se identificaron visualmente y deben confirmarse con CLT.</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p>
      <w:pPr>
        <w:pStyle w:val="ListParagraph"/>
        <w:numPr>
          <w:ilvl w:val="0"/>
          <w:numId w:val="2"/>
        </w:numPr>
        <w:spacing w:after="80"/>
      </w:pPr>
      <w:r>
        <w:t xml:space="preserve">Tintas: avientspecialtyinks.com, screentec.com.mx, sanchez.com.mx, casadiaz.com.mx (Matsui), marabu-tintas.es, ruco-druckfarben.de (distribuidores), tampoprint.com; precios en screenprinting.com, spsi.com, graficosleo.com.mx, Mercado Libre y Alibaba (octubre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2026-10-08T04:52:46.987Z</dcterms:created>
  <dcterms:modified xsi:type="dcterms:W3CDTF">2026-10-08T04:52:46.987Z</dcterms:modified>
</cp:coreProperties>
</file>

<file path=docProps/custom.xml><?xml version="1.0" encoding="utf-8"?>
<Properties xmlns="http://schemas.openxmlformats.org/officeDocument/2006/custom-properties" xmlns:vt="http://schemas.openxmlformats.org/officeDocument/2006/docPropsVTypes"/>
</file>