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Mexico national team, Liga MX and MLS jerseys; 1,658 workers; exports to the U.S. and South America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and budget brands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2"/>
      </w:pPr>
      <w:r>
        <w:t xml:space="preserve">Competitors in inks, pastes and silicones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 (origin)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Presence in Mexico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Reference price</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(U.S.)</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and dealers; standard in export contract manufacturing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~US$40–60/gallon for mixing colors; specialties US$90–310/gallon (U.S. stores)</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OEMs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(Mexico)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manufacturer with a dealer network</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MXN 159–217/kg retail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(Japan)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benchmark for water-based and discharge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 bases from ~US$8–9/kg in Central America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(U.S.)</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through U.S. dealers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and others; strong in graphics, pad and digital printing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limited textile range (nylon, synthetics)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(Germany)</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(dealer)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industrial inks for plastic, glass and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Mexican subsidiary; pad printing machines and inks</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tagless labels only</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Low-cost Mexican brands: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Retail, Mercado Libre, screen printing stores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plastisol white ~MXN 790/gallon</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 with small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Online sales with no local service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Very low: silicone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Mid: same origin as CLT</w:t>
            </w:r>
          </w:p>
        </w:tc>
      </w:tr>
    </w:tbl>
    <w:p>
      <w:pPr>
        <w:spacing w:after="120"/>
      </w:pPr>
    </w:p>
    <w:p>
      <w:pPr>
        <w:spacing w:after="200" w:before="80"/>
      </w:pPr>
      <w:r>
        <w:rPr>
          <w:i/>
          <w:iCs/>
          <w:color w:val="555555"/>
          <w:sz w:val="18"/>
          <w:szCs w:val="18"/>
        </w:rPr>
        <w:t xml:space="preserve">Comex does not make textile screen printing inks: it is an architectural paint brand. Public prices as of October 2026, for reference only; CLT’s price for Mexico is to be confirmed.</w:t>
      </w:r>
    </w:p>
    <w:p>
      <w:pPr>
        <w:pStyle w:val="Heading2"/>
      </w:pPr>
      <w:r>
        <w:t xml:space="preserve">SWOT 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Competitor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Opportunity for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 to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Global brand; certified inks approved by brands; full range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price; imported; very expensive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Silicones and special effects at a lower price; water-based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brands already have approved inks: switching is slow</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maker; low price; dealer network; Siltex silicones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machines or hybrid line; focus on the domestic market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Turnkey package: machine + chemistry + service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consumables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Benchmark in water-based, discharge and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mid-high price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Water-based pastes are 54% of CLT’s sales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Already inside large contractors and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German quality; strong in graphics, pad printing and industry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Little offer for garment printing</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Not head-on competitors in apparel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Tagless label and synthetics niche</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Low-cost Mexican brands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price; sold in every store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Uneven quality; no certifications or technical support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Growing shops that need consistent quality</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small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Lowest price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No service, no local stock, no warranty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Local service, stock and Spanish-speaking technicians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Same origin: customers compare price against CLT</w:t>
            </w:r>
          </w:p>
        </w:tc>
      </w:tr>
    </w:tbl>
    <w:p>
      <w:pPr>
        <w:spacing w:after="120"/>
      </w:pPr>
    </w:p>
    <w:p>
      <w:pPr>
        <w:pStyle w:val="Heading2"/>
      </w:pPr>
      <w:r>
        <w:t xml:space="preserve">SWOT of our position against the competition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Only turnkey offer: hybrid machine + chemistry + service</w:t>
            </w:r>
          </w:p>
          <w:p>
            <w:pPr>
              <w:keepNext w:val="false"/>
              <w:spacing w:after="60"/>
            </w:pPr>
            <w:r>
              <w:rPr>
                <w:rFonts w:ascii="Calibri" w:cs="Calibri" w:eastAsia="Calibri" w:hAnsi="Calibri"/>
                <w:b/>
                <w:bCs/>
                <w:sz w:val="19"/>
                <w:szCs w:val="19"/>
              </w:rPr>
              <w:t xml:space="preserve">• CLT chemistry priced below premium brands</w:t>
            </w:r>
          </w:p>
          <w:p>
            <w:pPr>
              <w:keepNext w:val="false"/>
              <w:spacing w:after="60"/>
            </w:pPr>
            <w:r>
              <w:rPr>
                <w:rFonts w:ascii="Calibri" w:cs="Calibri" w:eastAsia="Calibri" w:hAnsi="Calibri"/>
                <w:b/>
                <w:bCs/>
                <w:sz w:val="19"/>
                <w:szCs w:val="19"/>
              </w:rPr>
              <w:t xml:space="preserve">• Service in Mexico and the U.S.; own importer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CLT brand little known in Mexico</w:t>
            </w:r>
          </w:p>
          <w:p>
            <w:pPr>
              <w:keepNext w:val="false"/>
              <w:spacing w:after="60"/>
            </w:pPr>
            <w:r>
              <w:rPr>
                <w:rFonts w:ascii="Calibri" w:cs="Calibri" w:eastAsia="Calibri" w:hAnsi="Calibri"/>
                <w:b w:val="false"/>
                <w:bCs w:val="false"/>
                <w:sz w:val="19"/>
                <w:szCs w:val="19"/>
              </w:rPr>
              <w:t xml:space="preserve">• No export-brand ink approvals yet</w:t>
            </w:r>
          </w:p>
          <w:p>
            <w:pPr>
              <w:keepNext w:val="false"/>
              <w:spacing w:after="60"/>
            </w:pPr>
            <w:r>
              <w:rPr>
                <w:rFonts w:ascii="Calibri" w:cs="Calibri" w:eastAsia="Calibri" w:hAnsi="Calibri"/>
                <w:b w:val="false"/>
                <w:bCs w:val="false"/>
                <w:sz w:val="19"/>
                <w:szCs w:val="19"/>
              </w:rPr>
              <w:t xml:space="preserve">• Textile team still to be built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Opportunities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2026 tariffs on Chinese apparel: more local production</w:t>
            </w:r>
          </w:p>
          <w:p>
            <w:pPr>
              <w:keepNext w:val="false"/>
              <w:spacing w:after="60"/>
            </w:pPr>
            <w:r>
              <w:rPr>
                <w:rFonts w:ascii="Calibri" w:cs="Calibri" w:eastAsia="Calibri" w:hAnsi="Calibri"/>
                <w:b/>
                <w:bCs/>
                <w:sz w:val="19"/>
                <w:szCs w:val="19"/>
              </w:rPr>
              <w:t xml:space="preserve">• Export OEMs want high-value effects</w:t>
            </w:r>
          </w:p>
          <w:p>
            <w:pPr>
              <w:keepNext w:val="false"/>
              <w:spacing w:after="60"/>
            </w:pPr>
            <w:r>
              <w:rPr>
                <w:rFonts w:ascii="Calibri" w:cs="Calibri" w:eastAsia="Calibri" w:hAnsi="Calibri"/>
                <w:b/>
                <w:bCs/>
                <w:sz w:val="19"/>
                <w:szCs w:val="19"/>
              </w:rPr>
              <w:t xml:space="preserve">• Few local suppliers of silicones and special effects</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tied to brands’ approved-ink lists</w:t>
            </w:r>
          </w:p>
          <w:p>
            <w:pPr>
              <w:keepNext w:val="false"/>
              <w:spacing w:after="60"/>
            </w:pPr>
            <w:r>
              <w:rPr>
                <w:rFonts w:ascii="Calibri" w:cs="Calibri" w:eastAsia="Calibri" w:hAnsi="Calibri"/>
                <w:b w:val="false"/>
                <w:bCs w:val="false"/>
                <w:sz w:val="19"/>
                <w:szCs w:val="19"/>
              </w:rPr>
              <w:t xml:space="preserve">• Low prices from ScreenTec and Mexican budget brands</w:t>
            </w:r>
          </w:p>
          <w:p>
            <w:pPr>
              <w:keepNext w:val="false"/>
              <w:spacing w:after="60"/>
            </w:pPr>
            <w:r>
              <w:rPr>
                <w:rFonts w:ascii="Calibri" w:cs="Calibri" w:eastAsia="Calibri" w:hAnsi="Calibri"/>
                <w:b w:val="false"/>
                <w:bCs w:val="false"/>
                <w:sz w:val="19"/>
                <w:szCs w:val="19"/>
              </w:rPr>
              <w:t xml:space="preserve">• DTF in short runs</w:t>
            </w:r>
          </w:p>
          <w:p>
            <w:pPr>
              <w:keepNext w:val="false"/>
              <w:spacing w:after="60"/>
            </w:pPr>
            <w:r>
              <w:rPr>
                <w:rFonts w:ascii="Calibri" w:cs="Calibri" w:eastAsia="Calibri" w:hAnsi="Calibri"/>
                <w:b w:val="false"/>
                <w:bCs w:val="false"/>
                <w:sz w:val="19"/>
                <w:szCs w:val="19"/>
              </w:rPr>
              <w:t xml:space="preserve">• Tariffs on Chinese inputs</w:t>
            </w:r>
          </w:p>
        </w:tc>
      </w:tr>
    </w:tbl>
    <w:p>
      <w:pPr>
        <w:spacing w:after="120"/>
      </w:pPr>
    </w:p>
    <w:p>
      <w:pPr>
        <w:spacing w:after="160"/>
      </w:pPr>
      <w:r>
        <w:t xml:space="preserve">Are they too expensive to compete? Premium brands (Avient, Matsui, Marabu, RUCO) cost more than Chinese chemistry: there CLT competes on price, but it must win brand approvals to get into contract manufacturing. The real price competition is Grupo Sánchez / ScreenTec, Mexican budget brands and direct Chinese suppliers; against them the argument is the package of machine, service and technical support.</w:t>
      </w: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2"/>
      </w:pPr>
      <w:r>
        <w:t xml:space="preserve">Marketing plan (summary)</w:t>
      </w:r>
    </w:p>
    <w:p>
      <w:pPr>
        <w:spacing w:after="160"/>
      </w:pPr>
      <w:r>
        <w:t xml:space="preserve">Goal: within 24 months, make CLT the reference brand for hybrid textile printing in Mexico and replicate the model in Latin America in year 3. Positioning: “Screen + digital in one pass, with chemistry and service in Mexico.” We do not sell a machine: we sell unlimited color at screen printing cost, effects DTF cannot achieve and a local technical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Lever</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we will do</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Account-based marketing</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Sample with each of the 17 80/20 accounts’ own design, ROI calculator, demo and pilot on their fabric</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 room</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as the sales engine: demos, effect workshops and the CLT Hybrid Academy (operator certification)</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Content and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Effect reels (glass, embroidery, 3D), customer cases, LinkedIn for OEMs, WhatsApp for consumables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demo room opening, “Hybrid Days” in 6 cities and PRINTING United with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Offer</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Starter, Pro and Full packages; “founding customers” program for the first 5 buyers; consumables as the entry point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Targets and budget</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Qualified leads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Shops buying CLT consumables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Marketing budget</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 America: wave 1 in El Salvador, Honduras and Guatemala (years 2–3), wave 2 in Peru and Colombia (year 3), conditional on Mexico (5 lines and documented cases). We ask CLT for a co-op marketing fund of 3–5% of purchases, Spanish brand material and an engineer at the launch. Full plan with calendar, budget and KPI dashboard in the attached Excel workbook.</w:t>
      </w:r>
    </w:p>
    <w:p>
      <w:pPr>
        <w:spacing w:after="200" w:before="80"/>
      </w:pPr>
      <w:r>
        <w:rPr>
          <w:i/>
          <w:iCs/>
          <w:color w:val="555555"/>
          <w:sz w:val="18"/>
          <w:szCs w:val="18"/>
        </w:rPr>
        <w:t xml:space="preserve">Targets and budget: estimate to be validated with CLT.</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p>
      <w:pPr>
        <w:pStyle w:val="ListParagraph"/>
        <w:numPr>
          <w:ilvl w:val="0"/>
          <w:numId w:val="2"/>
        </w:numPr>
        <w:spacing w:after="80"/>
      </w:pPr>
      <w:r>
        <w:t xml:space="preserve">Inks: avientspecialtyinks.com, screentec.com.mx, sanchez.com.mx, casadiaz.com.mx (Matsui), marabu-tintas.es, ruco-druckfarben.de (distributors), tampoprint.com; prices from screenprinting.com, spsi.com, graficosleo.com.mx, Mercado Libre and Alibaba (October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2026-10-08T14:20:47.398Z</dcterms:created>
  <dcterms:modified xsi:type="dcterms:W3CDTF">2026-10-08T14:20:47.398Z</dcterms:modified>
</cp:coreProperties>
</file>

<file path=docProps/custom.xml><?xml version="1.0" encoding="utf-8"?>
<Properties xmlns="http://schemas.openxmlformats.org/officeDocument/2006/custom-properties" xmlns:vt="http://schemas.openxmlformats.org/officeDocument/2006/docPropsVTypes"/>
</file>