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b/>
          <w:bCs/>
          <w:color w:val="0079A8"/>
          <w:sz w:val="24"/>
          <w:szCs w:val="24"/>
        </w:rPr>
        <w:t xml:space="preserve">CLT · TID · VSP · CEB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B1F3B"/>
          <w:sz w:val="64"/>
          <w:szCs w:val="64"/>
        </w:rPr>
        <w:t xml:space="preserve">Resumen Ejecutivo: Latinoamérica y Caribe</w:t>
      </w:r>
    </w:p>
    <w:p>
      <w:pPr>
        <w:pBdr>
          <w:bottom w:val="single" w:color="C2185B" w:sz="12" w:space="12"/>
        </w:pBdr>
        <w:spacing w:after="600" w:before="120"/>
      </w:pPr>
      <w:r>
        <w:rPr>
          <w:rFonts w:ascii="Calibri" w:cs="Calibri" w:eastAsia="Calibri" w:hAnsi="Calibri"/>
          <w:color w:val="C2185B"/>
          <w:sz w:val="30"/>
          <w:szCs w:val="30"/>
        </w:rPr>
        <w:t xml:space="preserve">Expansión de la impresión híbrida textil de CLT después de México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Para: inversionistas y socios del grupo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Preparado por: TID México · VSP Printing, Inc. · CEB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Octubre 2026</w:t>
      </w:r>
    </w:p>
    <w:p>
      <w:pPr>
        <w:spacing w:after="120" w:before="18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Contacto: Carlos Moreno — TID México · carlos.moreno@tidmexico.com.mx · +52 446 479 4420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Las cifras marcadas como «estimación» son cálculos propios con fuentes públicas; se confirmarán con la cotización formal de CLT.</w:t>
      </w:r>
    </w:p>
    <w:p>
      <w:r>
        <w:rPr>
          <w:rFonts w:ascii="Calibri" w:cs="Calibri" w:eastAsia="Calibri" w:hAnsi="Calibri"/>
          <w:b/>
          <w:bCs/>
          <w:color w:val="C2185B"/>
          <w:sz w:val="18"/>
          <w:szCs w:val="18"/>
        </w:rPr>
        <w:t xml:space="preserve">DOCUMENTO CONFIDENCIAL</w:t>
      </w:r>
    </w:p>
    <w:p>
      <w:r>
        <w:br w:type="page"/>
      </w:r>
    </w:p>
    <w:p>
      <w:pPr>
        <w:pStyle w:val="Heading1"/>
      </w:pPr>
      <w:r>
        <w:t xml:space="preserve">La oportunidad en una página</w:t>
      </w:r>
    </w:p>
    <w:p>
      <w:pPr>
        <w:spacing w:after="160"/>
      </w:pPr>
      <w:r>
        <w:t xml:space="preserve">Después de consolidar México, el grupo propone llevar la impresión híbrida y la química de CLT a Latinoamérica y el Caribe desde el año 2. La región combina dos mercados: las maquilas de exportación de Centroamérica y el Caribe, que estampan para marcas de EE. UU., y los mercados de marca propia de Colombia, Perú y Brasil.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Crecimiento: la impresión textil digital en Latinoamérica crecerá ~11.8% al año hasta 2034; Brasil y México son los mercados líderes (Cannata Report).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clientes identificada: 217 empresas en 16 países, 47 de prioridad A y 88 maquilas de exportación (OEM).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Mismo cliente que en México: las maquilas de Centroamérica y el Caribe fabrican para Hanes, Gildan, Nike y Under Armour, y se pueden atender desde México y desde VSP en EE. UU., donde están sus matrices.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Condición de entrada: México primero. La expansión arranca cuando haya al menos 5 líneas instaladas en México y casos de éxito documentados.</w:t>
      </w:r>
    </w:p>
    <w:p>
      <w:pPr>
        <w:pStyle w:val="Heading1"/>
      </w:pPr>
      <w:r>
        <w:t xml:space="preserve">Dónde están los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600"/>
        <w:gridCol w:w="1600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Región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Empresas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Colombia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62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Brasil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51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República Dominicana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Caribe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Salvador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Centroamérica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Perú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Honduras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Centroamérica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Haití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Caribe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Guatemala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Centroamérica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Otros 8 países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Puerto Rico, Argentina, Jamaica, Costa Rica, Panamá, Ecuador, Chile, Nicaragua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16 países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217</w:t>
            </w:r>
          </w:p>
        </w:tc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47</w:t>
            </w:r>
          </w:p>
        </w:tc>
      </w:tr>
    </w:tbl>
    <w:p>
      <w:pPr>
        <w:spacing w:after="120"/>
      </w:pPr>
    </w:p>
    <w:p>
      <w:pPr>
        <w:spacing w:before="80"/>
        <w:jc w:val="center"/>
      </w:pPr>
      <w:r>
        <w:drawing>
          <wp:inline distT="0" distB="0" distL="0" distR="0">
            <wp:extent cx="5715000" cy="2952750"/>
            <wp:effectExtent t="0" r="0" b="0" l="0"/>
            <wp:docPr id="2" name="Mapa_LATAM_Estampadores_Fabricantes_ES.png" descr="Mapa LATAM de estampadores y fabricantes" title="Mapa LATAM de estampadores y fabric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18"/>
          <w:szCs w:val="18"/>
        </w:rPr>
        <w:t xml:space="preserve">Estampadores y fabricantes en México, Centroamérica, Caribe y Sudamérica. Estrella dorada: 80/20 en México o prioridad A.</w:t>
      </w:r>
    </w:p>
    <w:p>
      <w:pPr>
        <w:pStyle w:val="Heading1"/>
      </w:pPr>
      <w:r>
        <w:t xml:space="preserve">Cuentas foco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rPr>
          <w:cantSplit/>
          <w:tblHeader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Empresa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País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Cygnus Investments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Salvador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Planta de serigrafía nearshore (2021) que ya ofrece impresión híbrida digital + serigrafía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 Screen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Salvador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Más de 60 millones de estampados al año en serigrafía, sublimación y digital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ACSA Colors Printing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Guatemala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Serigrafía de prendas en la zona industrial de Mixco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TCPL y The Willbes (mismo grupo)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Rep. Dominicana y Haití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Confección y estampado para Gap en zonas francas; una sola negociación cubre tres plantas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Topy Top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Perú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Primer exportador peruano de prendas de punto; estampado propio y DTG desde 2023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Industrias Nettalco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Perú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Exportador líder de prendas de punto con estampado digital propio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CO&amp;TEX (Coytex)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Colombia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~500 mil prendas al mes para Arturo Calle; puede internalizar el estampado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Grupo Dass y Grupo Malwee</w:t>
            </w:r>
          </w:p>
        </w:tc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Brasil</w:t>
            </w:r>
          </w:p>
        </w:tc>
        <w:tc>
          <w:tcPr>
            <w:tcW w:type="dxa" w:w="42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Grandes fabricantes con estampado propio: Dass produce para Umbro, Fila y New Balance; Malwee, 35–45 millones de piezas al año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Ruta de expansión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60"/>
        <w:gridCol w:w="4600"/>
      </w:tblGrid>
      <w:tr>
        <w:trPr>
          <w:cantSplit/>
          <w:tblHeader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Países</w:t>
            </w:r>
          </w:p>
        </w:tc>
        <w:tc>
          <w:tcPr>
            <w:tcW w:type="dxa" w:w="4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Ola 1 · años 2–3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Salvador, Guatemala, Honduras</w:t>
            </w:r>
          </w:p>
        </w:tc>
        <w:tc>
          <w:tcPr>
            <w:tcW w:type="dxa" w:w="4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Maquila para marcas de EE. UU.; venta y servicio desde México, con apoyo de VSP ante las matrices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Ola 2 · año 3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Colombia y Perú</w:t>
            </w:r>
          </w:p>
        </w:tc>
        <w:tc>
          <w:tcPr>
            <w:tcW w:type="dxa" w:w="4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Mercados con marca propia y exportación de punto; agente local con soporte técnico de TID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Ola 3 · años 3–4</w:t>
            </w:r>
          </w:p>
        </w:tc>
        <w:tc>
          <w:tcPr>
            <w:tcW w:type="dxa" w:w="28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Rep. Dominicana, Haití y Brasil</w:t>
            </w:r>
          </w:p>
        </w:tc>
        <w:tc>
          <w:tcPr>
            <w:tcW w:type="dxa" w:w="4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Zonas francas del Caribe; en Brasil, socio local por idioma, registro y aranceles de importación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La inversión es por país y se activa por metas: el modelo de México (equipo de demostración, inventario y técnico) se replica con un agente local en lugar de una oficina propia.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 que se pide a CLT: extensión de la exclusividad a la región sujeta a metas, fondo cooperativo de marketing de 3–5% de las compras y apoyo de un ingeniero en cada lanzamiento.</w:t>
      </w:r>
    </w:p>
    <w:p>
      <w:pPr>
        <w:pStyle w:val="Heading1"/>
      </w:pPr>
      <w:r>
        <w:t xml:space="preserve">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Distancia y costo del servicio técnico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Agentes locales capacitados por TID; inventario de refacciones en México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Inestabilidad política (Haití) y cierres de plantas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Priorizar grupos con varias plantas (Willbes) y países estables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Aranceles y registro en Brasil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Entrar con socio local; evaluar la cadena de importación antes de invertir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prospectos por verificar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Parte de las empresas de Brasil y Colombia solo tiene fuentes de prensa o directorio; se validan antes de cada ola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Lo que se decide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Aprobar la expansión por olas, condicionada a resultados en México (5 líneas y casos documentados).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Incluir la región en la negociación con CLT desde ahora, para asegurar la exclusividad por metas.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Presupuestar la validación de las cuentas foco en el año 2: visitas a El Salvador y Guatemala, y contacto con los grupos de Perú y República Dominicana.</w:t>
      </w: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Resumen ejecutivo LATAM y Caribe — Confidencial   ·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Resumen Ejecutivo: Latinoamérica y Caribe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C2185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da704cb9ca546a84d817f7efdf336a0ecef49f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Ejecutivo: Latinoamérica y Caribe</dc:title>
  <dc:creator>TID México</dc:creator>
  <cp:lastModifiedBy>Un-named</cp:lastModifiedBy>
  <cp:revision>1</cp:revision>
  <dcterms:created xsi:type="dcterms:W3CDTF">2026-10-12T20:24:50.913Z</dcterms:created>
  <dcterms:modified xsi:type="dcterms:W3CDTF">2026-10-12T20:24:50.913Z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