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Calibri" w:cs="Calibri" w:eastAsia="Calibri" w:hAnsi="Calibri"/>
          <w:b/>
          <w:bCs/>
          <w:color w:val="0079A8"/>
          <w:sz w:val="24"/>
          <w:szCs w:val="24"/>
        </w:rPr>
        <w:t xml:space="preserve">CLT · TID · VSP · CEB</w:t>
      </w:r>
    </w:p>
    <w:p>
      <w:pPr>
        <w:spacing w:before="200"/>
      </w:pPr>
      <w:r>
        <w:rPr>
          <w:rFonts w:ascii="Calibri" w:cs="Calibri" w:eastAsia="Calibri" w:hAnsi="Calibri"/>
          <w:b/>
          <w:bCs/>
          <w:color w:val="1B1F3B"/>
          <w:sz w:val="64"/>
          <w:szCs w:val="64"/>
        </w:rPr>
        <w:t xml:space="preserve">Resumen Ejecutivo: México</w:t>
      </w:r>
    </w:p>
    <w:p>
      <w:pPr>
        <w:pBdr>
          <w:bottom w:val="single" w:color="C2185B" w:sz="12" w:space="12"/>
        </w:pBdr>
        <w:spacing w:after="600" w:before="120"/>
      </w:pPr>
      <w:r>
        <w:rPr>
          <w:rFonts w:ascii="Calibri" w:cs="Calibri" w:eastAsia="Calibri" w:hAnsi="Calibri"/>
          <w:color w:val="C2185B"/>
          <w:sz w:val="30"/>
          <w:szCs w:val="30"/>
        </w:rPr>
        <w:t xml:space="preserve">Distribución de la impresión híbrida textil de CLT (serigrafía + digital)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Para: inversionistas y socios del grupo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Preparado por: TID México · VSP Printing, Inc. · CEB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Octubre 2026</w:t>
      </w:r>
    </w:p>
    <w:p>
      <w:pPr>
        <w:spacing w:after="120" w:before="18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Contacto: Carlos Moreno — TID México · carlos.moreno@tidmexico.com.mx · +52 446 479 4420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Las cifras marcadas como «estimación» son cálculos propios con fuentes públicas; se confirmarán con la cotización formal de CLT.</w:t>
      </w:r>
    </w:p>
    <w:p>
      <w:r>
        <w:rPr>
          <w:rFonts w:ascii="Calibri" w:cs="Calibri" w:eastAsia="Calibri" w:hAnsi="Calibri"/>
          <w:b/>
          <w:bCs/>
          <w:color w:val="C2185B"/>
          <w:sz w:val="18"/>
          <w:szCs w:val="18"/>
        </w:rPr>
        <w:t xml:space="preserve">DOCUMENTO CONFIDENCIAL</w:t>
      </w:r>
    </w:p>
    <w:p>
      <w:r>
        <w:br w:type="page"/>
      </w:r>
    </w:p>
    <w:p>
      <w:pPr>
        <w:pStyle w:val="Heading1"/>
      </w:pPr>
      <w:r>
        <w:t xml:space="preserve">La oportunidad en una página</w:t>
      </w:r>
    </w:p>
    <w:p>
      <w:pPr>
        <w:spacing w:after="160"/>
      </w:pPr>
      <w:r>
        <w:t xml:space="preserve">TID México, VSP Printing y su importadora CEB proponen ser el distribuidor exclusivo en México de CLT (Dongguan Changlian New Material Technology, Bolsa de Shenzhen 301618). CLT fabrica impresoras híbridas que combinan serigrafía y digital en una sola pasada, y la química que consumen: siliconas, pastas base agua y tintas. Hoy no tiene distribuidor formal en México.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Mercado en crecimiento: la impresión textil digital en México vale US$116.5 millones (2024) y llegará a US$217.6 millones en 2030, con 11.5% de crecimiento anual. El segmento que más crece es la impresión directa sobre prenda, donde compite la híbrida (Grand View Research).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competencia directa: no encontramos un distribuidor de impresión híbrida china con inventario, refacciones, técnicos y química en México. Epson domina el digital puro (~60%, según Epson), pero no vende serigrafía ni química.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Momento favorable: los aranceles de 2026 (hasta 35% a prendas de países sin tratado) y el nearshoring empujan producción a México, que necesita diferenciarse con efectos de alto valor y entrega rápida.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Clientes identificados: 82 prospectos en 13 zonas (35 maquilas de exportación OEM), con 17 cuentas prioritarias que fabrican para Nike, Disney, Fanatics, adidas, Puma y Columbia.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Negocio recurrente: cada línea instalada consume ~US$36 mil al año en química (estimación). Además se vende química a talleres que no compran máquina.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Inversión acotada: ~US$262 mil en el escenario base, con recuperación durante el año 3 (estimación).</w:t>
      </w:r>
    </w:p>
    <w:p>
      <w:pPr>
        <w:pStyle w:val="Heading1"/>
      </w:pPr>
      <w:r>
        <w:t xml:space="preserve">El fabricante: CLT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Fundada en 2009 en Dongguan, China; cotiza en la Bolsa de Shenzhen (ChiNext) desde 2024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Ventas 2025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¥568 millones (~US$80 M); utilidad neta ~US$6 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Mezcla de ventas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Pastas base agua 54%, siliconas 21%, resinas 8%, equipos 6.5%; exportación 18%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Tecnología híbrida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blanca con serigrafía y color digital en una pasada; 40–70% menos tinta que DTG puro; rentable de 500 a 5,000 piezas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Certificaciones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OEKO-TEX, GOTS, ISO 9001 e ISO 14001 (requisito de las marcas de exportación)</w:t>
            </w:r>
          </w:p>
        </w:tc>
      </w:tr>
    </w:tbl>
    <w:p>
      <w:pPr>
        <w:spacing w:after="120"/>
      </w:pPr>
    </w:p>
    <w:p>
      <w:pPr>
        <w:spacing w:after="200" w:before="80"/>
      </w:pPr>
      <w:r>
        <w:rPr>
          <w:i/>
          <w:iCs/>
          <w:color w:val="555555"/>
          <w:sz w:val="18"/>
          <w:szCs w:val="18"/>
        </w:rPr>
        <w:t xml:space="preserve">Fuente: reporte anual 2025 de CLT. Tipo de cambio de referencia ¥7.1 por US$.</w:t>
      </w:r>
    </w:p>
    <w:p>
      <w:pPr>
        <w:pStyle w:val="Heading1"/>
      </w:pPr>
      <w:r>
        <w:t xml:space="preserve">El mercado mexicano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Impresión textil digital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US$116.5 M (2024) → US$217.6 M (2030), +11.5% anual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Grand View Research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Empresas textiles y de confección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102,492 unidades económicas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INEGI 2023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Núcleo del mercado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~1,130 empresas medianas y grandes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INEGI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Clientes alcanzables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1,400–1,900 (medianas/grandes y talleres con pulpo automático)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Estimación propia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Exportaciones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US$9,300 millones; 89% a EE. UU.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INEGI 2023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Zonas prioritarias</w:t>
            </w:r>
          </w:p>
        </w:tc>
        <w:tc>
          <w:tcPr>
            <w:tcW w:type="dxa" w:w="41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Edomex/CDMX, Jalisco y Baja California; después Puebla/Tlaxcala y Guanajuato</w:t>
            </w:r>
          </w:p>
        </w:tc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Estudio propio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Evidencia de demanda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Fortune Fashions Baja (Mad Engine, Ensenada) importó US$8.3 millones en tintas de serigrafía entre 2022 y 2025: ~US$2.2 millones al año, una sola planta (registros de comercio exterior).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maquilas de Baja California y Yucatán estampan para Disney, Fanatics, Nike y Columbia, y ya trabajan con pulpos automáticos: son clientes naturales para agregar estaciones digitales.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talleres nacionales compiten contra importación barata y DTF; la híbrida les da color fotográfico con el costo de la serigrafía.</w:t>
      </w:r>
    </w:p>
    <w:p>
      <w:pPr>
        <w:spacing w:before="80"/>
        <w:jc w:val="center"/>
      </w:pPr>
      <w:r>
        <w:drawing>
          <wp:inline distT="0" distB="0" distL="0" distR="0">
            <wp:extent cx="5715000" cy="3648075"/>
            <wp:effectExtent t="0" r="0" b="0" l="0"/>
            <wp:docPr id="1" name="Mapa_Prospectos_OEM.png" descr="Mapa de prospectos OEM" title="Mapa de prospectos O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/>
        <w:jc w:val="center"/>
      </w:pPr>
      <w:r>
        <w:rPr>
          <w:i/>
          <w:iCs/>
          <w:color w:val="555555"/>
          <w:sz w:val="18"/>
          <w:szCs w:val="18"/>
        </w:rPr>
        <w:t xml:space="preserve">Prospectos OEM en México, Centroamérica y Caribe. Estrella dorada: cuenta 80/20 o prioridad A.</w:t>
      </w:r>
    </w:p>
    <w:p>
      <w:pPr>
        <w:pStyle w:val="Heading1"/>
      </w:pPr>
      <w:r>
        <w:t xml:space="preserve">Cuentas prioritarias (80/20)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Maquilas de exportación (OEM)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Clientes que atienden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Vertical Knits (Yucatán)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Nike, Fanatics, Tommy Hilfiger, Patagonia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Ink Throwers de México (Tijuana)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Disney, Levi's, Marvel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MD International, Fortune Fashions, SOIR y Factory 1 (Ensenada)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Fanatics, Mad Engine, Disney, Columbia, REI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Codipsa (Puebla)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Puma, Gap, Hot Topic, Macy's, Disney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Industrias Manufactureras MYR (Irapuato)</w:t>
            </w:r>
          </w:p>
        </w:tc>
        <w:tc>
          <w:tcPr>
            <w:tcW w:type="dxa" w:w="4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adidas, Puma (jerseys Selección Mexicana y Liga MX)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Estampadores y marcas nacionales: ADN Serigrafía, Grupo Martex, GOCA'S, SerigrafiarteSP (CDMX y Edomex), Serigrafía Textil Automatizada (Puebla), Reitex (Nuevo León), Diermi y Uniformes Carmen (Jalisco), Charly (León).</w:t>
      </w:r>
    </w:p>
    <w:p>
      <w:pPr>
        <w:pStyle w:val="Heading1"/>
      </w:pPr>
      <w:r>
        <w:t xml:space="preserve">Modelo de negocio y números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 base (estimación)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Año 1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Año 2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Año 3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Líneas híbridas vendidas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Ventas (equipos + consumibles)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~US$0.4 M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~US$1.0 M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~US$1.8 M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por equipos (20%)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US$60k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US$150k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US$240k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por consumibles (35%)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US$34k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US$99k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US$209k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Gastos de operación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-US$131k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-US$160k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-US$180k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 del año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-US$37k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+US$89k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+US$269k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Resultado acumulado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-US$37k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+US$52k</w:t>
            </w:r>
          </w:p>
        </w:tc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CE4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+US$321k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Inversión inicial: ~US$262 mil en el escenario base: equipo de demostración, importación, sala de demostración, inventario, refacciones, capacitación y lanzamiento. Hay un escenario ligero de ~US$53 mil, con equipo en consignación de CLT, y uno completo de ~US$450 mil.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conservadora: las ventas del año 3 equivalen a ~1% del mercado digital y ~3–4% de la impresión sobre prenda. Con 30–90 líneas en 5 años, la venta anual llegaría a US$2–8 millones (1–3.5% del mercado de 2030).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margen crece con la base instalada: la química pasa de ~1/3 del margen en el año 1 a casi la mitad en el año 3.</w:t>
      </w:r>
    </w:p>
    <w:p>
      <w:pPr>
        <w:pStyle w:val="Heading1"/>
      </w:pPr>
      <w:r>
        <w:t xml:space="preserve">Por qué este grupo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Mismo modelo: TID ya vende proyectos llave en mano con máquina, consumibles, capacitación y servicio.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Cobertura de Norteamérica con un solo socio: TID en Querétaro, VSP en Los Ángeles y CEB como importadora propia en México.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Servicio técnico local en español: lo que CLT no puede dar desde China y lo que el cliente industrial exige.</w:t>
      </w:r>
    </w:p>
    <w:p>
      <w:pPr>
        <w:pStyle w:val="Heading1"/>
      </w:pPr>
      <w:r>
        <w:t xml:space="preserve">Riesgos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cantSplit/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B1F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Industria textil en contracción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Inversión por etapas; estaciones digitales sobre pulpos existentes; financiamiento al cliente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DTF en tirajes cortos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Enfoque en volumen (500–5,000 piezas) y efectos que el DTF no logra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Aprobaciones de tintas de las marcas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Certificaciones OEKO-TEX/GOTS de CLT; pruebas con las maquilas ancla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Curva de aprendizaje textil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EEF2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Certificación en la planta de CLT y contratación de personal del sector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Aranceles y tipo de cambio</w:t>
            </w:r>
          </w:p>
        </w:tc>
        <w:tc>
          <w:tcPr>
            <w:tcW w:type="dxa" w:w="576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keepNext w:val="false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 directa vía CEB, PROSEC y precios en dólares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Lo que se decide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Aprobar el escenario base de inversión (~US$262 mil) o el ligero (~US$53 mil) mientras se negocia con CLT.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Negociar con CLT: exclusividad en México, margen de 20% en equipos y 35% en consumibles, equipo de demostración en consignación o con 30–50% de descuento, y capacitación sin costo.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Recibir la cotización formal de CLT para sustituir las estimaciones, y validar consumos con 10–15 clientes.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Firmar carta de intención y arrancar el plan de 6 meses: sala de demostración, FESPA México y visitas a las 17 cuentas prioritarias.</w:t>
      </w:r>
    </w:p>
    <w:sectPr>
      <w:headerReference w:type="default" r:id="rId6"/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Resumen ejecutivo México — Confidencial   ·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Resumen Ejecutivo: México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B1F3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Calibri" w:cs="Calibri" w:eastAsia="Calibri" w:hAnsi="Calibri"/>
      <w:b/>
      <w:bCs/>
      <w:color w:val="C2185B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565e7af7cd9ad379c39b775031bc0a8a23b7c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Ejecutivo: México</dc:title>
  <dc:creator>TID México</dc:creator>
  <cp:lastModifiedBy>Un-named</cp:lastModifiedBy>
  <cp:revision>1</cp:revision>
  <dcterms:created xsi:type="dcterms:W3CDTF">2026-10-12T20:24:50.721Z</dcterms:created>
  <dcterms:modified xsi:type="dcterms:W3CDTF">2026-10-12T20:24:50.721Z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