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pBdr>
          <w:bottom w:val="single" w:color="2E75B6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WHAT IS AEGIS?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 self-hosted, compliance-first GPU control plane that gives data scientists and ML engineers VS Code on GPU hardware in 90 seconds, inside the customer's ATO boundary. Hub-and-spoke architecture manages multiple Kubernetes clusters from a single control plane with built-in budget enforcement, Kueue-based scheduling, and NIST 800-53 controls.</w:t>
      </w:r>
    </w:p>
    <w:p>
      <w:pPr>
        <w:spacing w:after="20"/>
      </w:pPr>
    </w:p>
    <w:p>
      <w:pPr>
        <w:pBdr>
          <w:bottom w:val="single" w:color="2E75B6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HUB-AND-SPOKE ARCHITECTURE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BACKSTAGE UI (React)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Self-service workspace launch, monitoring, FinOps dashboards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SOVRAN (VS Code Extension)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One-click GPU workspace connection via authenticated WebSocket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2E75B6"/>
          <w:sz w:val="16"/>
          <w:szCs w:val="16"/>
        </w:rPr>
        <w:t xml:space="preserve">HTTPS / gRPC-TLS / OIDC (Keycloak)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HUB CLUSTER (Control Plane)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Platform API (Go/gRPC)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|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Keycloak (OIDC/SAML/CAC)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|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PostgreSQL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|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Cert-Manager + Step CA (PKI)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Workload placement | Budget enforcement | Audit logging | Multi-tenant RBAC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2E75B6"/>
          <w:sz w:val="16"/>
          <w:szCs w:val="16"/>
        </w:rPr>
        <w:t xml:space="preserve">gRPC over mTLS (outbound-only from spokes)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Spoke Cluster 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K8s Agent (Operator)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Kueue Queues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GPU/CPU Workload Pods</w:t>
            </w:r>
          </w:p>
        </w:tc>
        <w:tc>
          <w:tcPr>
            <w:tcW w:type="dxa" w:w="3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Spoke Cluster 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K8s Agent (Operator)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Kueue Queues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GPU/CPU Workload Pods</w:t>
            </w:r>
          </w:p>
        </w:tc>
        <w:tc>
          <w:tcPr>
            <w:tcW w:type="dxa" w:w="3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Spoke Cluster 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K8s Agent (Operator)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Kueue Queues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GPU/CPU Workload Pods</w:t>
            </w:r>
          </w:p>
        </w:tc>
      </w:tr>
    </w:tbl>
    <w:p>
      <w:pPr>
        <w:spacing w:after="40"/>
      </w:pPr>
    </w:p>
    <w:p>
      <w:pPr>
        <w:pBdr>
          <w:bottom w:val="single" w:color="2E75B6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BUILT-IN SECURITY CONTROLS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Network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Keycloak OIDC/SAML
CAC/PIV support
MFA configurable
JWT validation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RBAC per project
Budget enforcement
Namespace isolation
Policy domains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mTLS service mesh
Outbound-only spokes
TLS 1.2+ everywhere
K8s NetworkPolicy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Structured JSON logs
AU-3 compliant fields
SIEM integration
OSCAL evidence export</w:t>
            </w:r>
          </w:p>
        </w:tc>
      </w:tr>
    </w:tbl>
    <w:p>
      <w:pPr>
        <w:spacing w:after="40"/>
      </w:pPr>
    </w:p>
    <w:p>
      <w:pPr>
        <w:pBdr>
          <w:bottom w:val="single" w:color="2E75B6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DEPLOYMENT MODEL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Deployment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Self-hosted within customer VPC / on-prem. Helm chart install.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Kubernetes Compatibility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EKS, RKE2, OpenShift, Big Bang, any CNCF-conformant K8s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Network Compatibility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NIPRNet, SIPRNet-ready, air-gapped environments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Compliance Frameworks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NIST 800-53 Rev 5, NIST 800-171 R3, FedRAMP-aligned controls, IL-4/5, CMMC L2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Authorization Boundary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components deploy inside customer's existing ATO boundary. No data egress. Network boundary security (VPC, Transit Gateway, Firewall) remains customer-managed.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4"/>
        <w:szCs w:val="14"/>
      </w:rPr>
      <w:t xml:space="preserve">UNCLASSIFIED | aegis-platform.tech</w:t>
    </w:r>
    <w:r>
      <w:rPr>
        <w:rFonts w:ascii="Arial" w:cs="Arial" w:eastAsia="Arial" w:hAnsi="Arial"/>
        <w:color w:val="666666"/>
        <w:sz w:val="14"/>
        <w:szCs w:val="14"/>
      </w:rPr>
      <w:t xml:space="preserve">	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B3A5C" w:val="clear"/>
      <w:spacing w:after="0"/>
    </w:pPr>
    <w:r>
      <w:rPr>
        <w:rFonts w:ascii="Arial" w:cs="Arial" w:eastAsia="Arial" w:hAnsi="Arial"/>
        <w:b/>
        <w:bCs/>
        <w:color w:val="FFFFFF"/>
        <w:sz w:val="26"/>
        <w:szCs w:val="26"/>
      </w:rPr>
      <w:t xml:space="preserve">   AEGIS PLATFORM  </w:t>
    </w:r>
    <w:r>
      <w:rPr>
        <w:rFonts w:ascii="Arial" w:cs="Arial" w:eastAsia="Arial" w:hAnsi="Arial"/>
        <w:color w:val="FFFFFF"/>
        <w:sz w:val="22"/>
        <w:szCs w:val="22"/>
      </w:rPr>
      <w:t xml:space="preserve">  Architecture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2026-03-19T10:33:19.391Z</dcterms:created>
  <dcterms:modified xsi:type="dcterms:W3CDTF">2026-03-19T10:33:19.391Z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