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COMPANY OVERVIEW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Aegis Platform delivers a compliance-first GPU control plane for regulated environments. We provide defense and intelligence community organizations with instant, secure access to GPU-accelerated development environments inside their existing ATO boundaries. Our platform eliminates the weeks-long provisioning cycle for ML/AI compute resources and replaces it with a 90-second, policy-enforced workflow.</w:t>
      </w:r>
    </w:p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CORE COMPETENCIES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Secure GPU Orchestration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Multi-cluster Kubernetes control plane with Kueue-based scheduling, budget enforcement, and p95 &lt; 90s time-to-first-GPU.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 Engineering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NIST 800-53 Rev 5, NIST 800-171 R3, FedRAMP-aligned controls, IL-4/5 readiness. OSCAL evidence export. ATO-ready documentation.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DevSecOps for AI/ML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VS Code Remote (Sovran extension) connected to GPU workspaces in seconds. Backstage UI for self-service. Zero-trust architecture.</w:t>
            </w:r>
          </w:p>
        </w:tc>
      </w:tr>
    </w:tbl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90-second GPU access: </w:t>
      </w:r>
      <w:r>
        <w:rPr>
          <w:rFonts w:ascii="Arial" w:cs="Arial" w:eastAsia="Arial" w:hAnsi="Arial"/>
          <w:sz w:val="18"/>
          <w:szCs w:val="18"/>
        </w:rPr>
        <w:t xml:space="preserve">From workspace request to VS Code terminal on GPU hardware, inside the customer's ATO boundary.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Self-hosted, air-gap ready: </w:t>
      </w:r>
      <w:r>
        <w:rPr>
          <w:rFonts w:ascii="Arial" w:cs="Arial" w:eastAsia="Arial" w:hAnsi="Arial"/>
          <w:sz w:val="18"/>
          <w:szCs w:val="18"/>
        </w:rPr>
        <w:t xml:space="preserve">Deploys entirely within the customer's network. No data leaves the boundary. Hub-and-spoke architecture supports NIPRNet, SIPRNet, and air-gapped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Built-in budget enforcement: </w:t>
      </w:r>
      <w:r>
        <w:rPr>
          <w:rFonts w:ascii="Arial" w:cs="Arial" w:eastAsia="Arial" w:hAnsi="Arial"/>
          <w:sz w:val="18"/>
          <w:szCs w:val="18"/>
        </w:rPr>
        <w:t xml:space="preserve">Per-project GPU-hour spending limits with HARD (reject) and SOFT (warn) policy modes. FinOps visibility for program managers.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 vendor lock-in: </w:t>
      </w:r>
      <w:r>
        <w:rPr>
          <w:rFonts w:ascii="Arial" w:cs="Arial" w:eastAsia="Arial" w:hAnsi="Arial"/>
          <w:sz w:val="18"/>
          <w:szCs w:val="18"/>
        </w:rPr>
        <w:t xml:space="preserve">Runs on any CNCF-conformant Kubernetes (EKS, RKE2, OpenShift, Big Bang). Helm-based deployment.</w:t>
      </w:r>
    </w:p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RELEVANT EXPERIENCE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Designed and operated CUI-compliant ML/AI infrastructure on AWS GovCloud for defense contractor (NTConcepts), supporting data science teams across IL-4 environments with Kubernetes-based GPU workload orchestration.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5+ years building and operating Kubernetes platforms, DevSecOps toolchains, and AI/ML infrastructure for defense and intelligence community programs within Platform One ecosystems.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18"/>
          <w:szCs w:val="18"/>
        </w:rPr>
        <w:t xml:space="preserve">Platform has been deployed and validated on AWS EKS with Iron Bank-compatible container images (UBI9 base). Working prototype demonstrated end-to-end: workspace submission, Keycloak auth, GPU scheduling, VS Code remote connection.</w:t>
      </w:r>
    </w:p>
    <w:p>
      <w:pPr>
        <w:spacing w:after="40"/>
      </w:pPr>
    </w:p>
    <w:p>
      <w:pPr>
        <w:pBdr>
          <w:bottom w:val="single" w:color="2E75B6" w:sz="4" w:space="4"/>
        </w:pBdr>
        <w:spacing w:after="100" w:before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COMPANY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NAICS Codes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511210 (Primary), 518210, 541511, 541512, 541519, 541715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PSC Codes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D302, D306, D307, D310, 7030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EIN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41-4974971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CAGE Code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[Pending SAM.gov Registration]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UEI / DUNS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[Pending SAM.gov Registration]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Size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Business (SBA Certified)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Set-Aside Eligibility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Small 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Point of Contact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Carlos Sanchez | carlos@aegis-platform.tech | aegis-platform.tech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4"/>
      </w:pBdr>
      <w:tabs>
        <w:tab w:val="right" w:pos="9026"/>
      </w:tabs>
      <w:spacing w:before="60"/>
    </w:pPr>
    <w:r>
      <w:rPr>
        <w:rFonts w:ascii="Arial" w:cs="Arial" w:eastAsia="Arial" w:hAnsi="Arial"/>
        <w:color w:val="666666"/>
        <w:sz w:val="14"/>
        <w:szCs w:val="14"/>
      </w:rPr>
      <w:t xml:space="preserve">UNCLASSIFIED | For Official Use Only</w:t>
    </w:r>
    <w: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aegis-platform.tech | carlos@aegis-platform.tech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3580"/>
    </w:tblGrid>
    <w:tr>
      <w:tc>
        <w:tcPr>
          <w:tcW w:type="dxa" w:w="6500"/>
          <w:tcBorders>
            <w:top w:val="none" w:sz="0"/>
            <w:left w:val="none" w:sz="0"/>
            <w:bottom w:val="none" w:sz="0"/>
            <w:right w:val="none" w:sz="0"/>
          </w:tcBorders>
          <w:shd w:fill="1B3A5C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AEGIS PLATFORM</w:t>
          </w:r>
        </w:p>
        <w:p>
          <w:r>
            <w:rPr>
              <w:rFonts w:ascii="Arial" w:cs="Arial" w:eastAsia="Arial" w:hAnsi="Arial"/>
              <w:color w:val="FFFFFF"/>
              <w:sz w:val="20"/>
              <w:szCs w:val="20"/>
            </w:rPr>
            <w:t xml:space="preserve">Capability Statement</w:t>
          </w:r>
        </w:p>
      </w:tc>
      <w:tc>
        <w:tcPr>
          <w:tcW w:type="dxa" w:w="3580"/>
          <w:tcBorders>
            <w:top w:val="none" w:sz="0"/>
            <w:left w:val="none" w:sz="0"/>
            <w:bottom w:val="none" w:sz="0"/>
            <w:right w:val="none" w:sz="0"/>
          </w:tcBorders>
          <w:shd w:fill="2E75B6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Small Business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6"/>
              <w:szCs w:val="16"/>
            </w:rPr>
            <w:t xml:space="preserve">NAICS: 511210 | 541512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2026-03-19T10:33:19.338Z</dcterms:created>
  <dcterms:modified xsi:type="dcterms:W3CDTF">2026-03-19T10:33:19.338Z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