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left"/>
      </w:pPr>
      <w:r>
        <w:rPr>
          <w:rFonts w:ascii="Arial" w:cs="Arial" w:eastAsia="Arial" w:hAnsi="Arial"/>
          <w:b/>
          <w:bCs/>
          <w:color w:val="1B3A5C"/>
          <w:sz w:val="56"/>
          <w:szCs w:val="56"/>
        </w:rPr>
        <w:t xml:space="preserve">AEGIS PLATFORM</w:t>
      </w:r>
    </w:p>
    <w:p>
      <w:pPr>
        <w:pBdr>
          <w:bottom w:val="single" w:color="2E75B6" w:sz="8" w:space="8"/>
        </w:pBdr>
        <w:spacing w:after="200"/>
        <w:jc w:val="left"/>
      </w:pPr>
      <w:r>
        <w:rPr>
          <w:rFonts w:ascii="Arial" w:cs="Arial" w:eastAsia="Arial" w:hAnsi="Arial"/>
          <w:color w:val="2E75B6"/>
          <w:sz w:val="32"/>
          <w:szCs w:val="32"/>
        </w:rPr>
        <w:t xml:space="preserve">Secure Multi-Cluster GPU Workspace Platform</w:t>
      </w:r>
    </w:p>
    <w:p>
      <w:pPr>
        <w:spacing w:after="100" w:before="400"/>
      </w:pPr>
      <w:r>
        <w:rPr>
          <w:rFonts w:ascii="Arial" w:cs="Arial" w:eastAsia="Arial" w:hAnsi="Arial"/>
          <w:color w:val="666666"/>
          <w:sz w:val="26"/>
          <w:szCs w:val="26"/>
        </w:rPr>
        <w:t xml:space="preserve">Solution Brief for Platform One Solutions Marketplace</w:t>
      </w:r>
    </w:p>
    <w:p>
      <w:pPr>
        <w:spacing w:after="100"/>
      </w:pPr>
      <w:r>
        <w:rPr>
          <w:rFonts w:ascii="Arial" w:cs="Arial" w:eastAsia="Arial" w:hAnsi="Arial"/>
          <w:color w:val="666666"/>
          <w:sz w:val="22"/>
          <w:szCs w:val="22"/>
        </w:rPr>
        <w:t xml:space="preserve">FA8307-24-S-C001</w:t>
      </w:r>
    </w:p>
    <w:p>
      <w:pPr>
        <w:spacing w:after="600"/>
      </w:pPr>
      <w:r>
        <w:rPr>
          <w:rFonts w:ascii="Arial" w:cs="Arial" w:eastAsia="Arial" w:hAnsi="Arial"/>
          <w:color w:val="666666"/>
          <w:sz w:val="22"/>
          <w:szCs w:val="22"/>
        </w:rPr>
        <w:t xml:space="preserve">March 2026</w:t>
      </w:r>
    </w:p>
    <w:p>
      <w:pPr>
        <w:pBdr>
          <w:top w:val="single" w:color="DDDDDD" w:sz="2" w:space="8"/>
        </w:pBdr>
        <w:spacing w:after="60" w:before="200"/>
      </w:pPr>
      <w:r>
        <w:rPr>
          <w:rFonts w:ascii="Arial" w:cs="Arial" w:eastAsia="Arial" w:hAnsi="Arial"/>
          <w:color w:val="666666"/>
          <w:sz w:val="20"/>
          <w:szCs w:val="20"/>
        </w:rPr>
        <w:t xml:space="preserve">Submitted by:</w:t>
      </w:r>
    </w:p>
    <w:p>
      <w:pPr>
        <w:spacing w:after="40"/>
      </w:pPr>
      <w:r>
        <w:rPr>
          <w:rFonts w:ascii="Arial" w:cs="Arial" w:eastAsia="Arial" w:hAnsi="Arial"/>
          <w:b/>
          <w:bCs/>
          <w:color w:val="1B3A5C"/>
          <w:sz w:val="24"/>
          <w:szCs w:val="24"/>
        </w:rPr>
        <w:t xml:space="preserve">Aegis Platform LLC</w:t>
      </w:r>
    </w:p>
    <w:p>
      <w:pPr>
        <w:spacing w:after="40"/>
      </w:pPr>
      <w:r>
        <w:rPr>
          <w:rFonts w:ascii="Arial" w:cs="Arial" w:eastAsia="Arial" w:hAnsi="Arial"/>
          <w:color w:val="666666"/>
          <w:sz w:val="20"/>
          <w:szCs w:val="20"/>
        </w:rPr>
        <w:t xml:space="preserve">Virginia, USA</w:t>
      </w:r>
    </w:p>
    <w:p>
      <w:pPr>
        <w:spacing w:after="40"/>
      </w:pPr>
      <w:r>
        <w:rPr>
          <w:rFonts w:ascii="Arial" w:cs="Arial" w:eastAsia="Arial" w:hAnsi="Arial"/>
          <w:color w:val="666666"/>
          <w:sz w:val="20"/>
          <w:szCs w:val="20"/>
        </w:rPr>
        <w:t xml:space="preserve">EIN: 41-4974971  |  NAICS: 511210  |  SAM.gov: Registered</w:t>
      </w:r>
    </w:p>
    <w:p>
      <w:pPr>
        <w:spacing w:after="40"/>
      </w:pPr>
      <w:r>
        <w:rPr>
          <w:rFonts w:ascii="Arial" w:cs="Arial" w:eastAsia="Arial" w:hAnsi="Arial"/>
          <w:color w:val="666666"/>
          <w:sz w:val="20"/>
          <w:szCs w:val="20"/>
        </w:rPr>
        <w:t xml:space="preserve">Principal: Carlos Sanchez</w:t>
      </w:r>
    </w:p>
    <w:p>
      <w:r>
        <w:rPr>
          <w:rFonts w:ascii="Arial" w:cs="Arial" w:eastAsia="Arial" w:hAnsi="Arial"/>
          <w:color w:val="666666"/>
          <w:sz w:val="20"/>
          <w:szCs w:val="20"/>
        </w:rPr>
        <w:t xml:space="preserve">Platform One Access: Active (repo1.dso.mil)</w:t>
      </w:r>
    </w:p>
    <w:p>
      <w:pPr>
        <w:spacing w:before="600"/>
      </w:pPr>
      <w:r>
        <w:rPr>
          <w:rFonts w:ascii="Arial" w:cs="Arial" w:eastAsia="Arial" w:hAnsi="Arial"/>
          <w:b/>
          <w:bCs/>
          <w:caps/>
          <w:color w:val="666666"/>
          <w:sz w:val="20"/>
          <w:szCs w:val="20"/>
        </w:rPr>
        <w:t xml:space="preserve">UNCLASSIFIED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sz w:val="22"/>
          <w:szCs w:val="22"/>
        </w:rPr>
        <w:t xml:space="preserve">Department of Defense AI/ML programs face a critical infrastructure bottleneck: deploying a CUI-compliant GPU development environment requires 3–6 months of infrastructure engineering across Transit Gateway, Network Firewall, AWS Workspaces, Active Directory, and Kubeflow—spanning 4+ AWS accounts and requiring 3–5 dedicated platform engineers to maintain. The resulting developer experience—browser-based Jupyter notebooks through a remote desktop—drives measurably lower productivity and accelerates talent loss to commercial organizations.</w:t>
      </w:r>
    </w:p>
    <w:p>
      <w:pPr>
        <w:spacing w:after="200"/>
      </w:pPr>
      <w:r>
        <w:rPr>
          <w:b/>
          <w:bCs/>
          <w:sz w:val="22"/>
          <w:szCs w:val="22"/>
        </w:rPr>
        <w:t xml:space="preserve">Aegis Platform eliminates this bottleneck. </w:t>
      </w:r>
      <w:r>
        <w:rPr>
          <w:sz w:val="22"/>
          <w:szCs w:val="22"/>
        </w:rPr>
        <w:t xml:space="preserve">Aegis is a self-hosted, Kubernetes-native GPU workspace control plane that deploys inside existing ATO boundaries via Helm charts in under one week. Data scientists select a GPU size, click Launch, and connect through native VS Code in under 90 seconds—with NIST 800-53 compliance controls, budget enforcement, and structured audit logging built into every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jc w:val="center"/>
            </w:pPr>
            <w:r>
              <w:rPr>
                <w:rFonts w:ascii="Arial" w:cs="Arial" w:eastAsia="Arial" w:hAnsi="Arial"/>
                <w:b/>
                <w:bCs/>
                <w:color w:val="FFFFFF"/>
                <w:sz w:val="28"/>
                <w:szCs w:val="28"/>
              </w:rPr>
              <w:t xml:space="preserve">&lt; 1 Week</w:t>
            </w:r>
          </w:p>
          <w:p>
            <w:pPr>
              <w:jc w:val="center"/>
            </w:pPr>
            <w:r>
              <w:rPr>
                <w:rFonts w:ascii="Arial" w:cs="Arial" w:eastAsia="Arial" w:hAnsi="Arial"/>
                <w:color w:val="FFFFFF"/>
                <w:sz w:val="18"/>
                <w:szCs w:val="18"/>
              </w:rPr>
              <w:t xml:space="preserve">Deploy to first GPU</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40"/>
              <w:jc w:val="center"/>
            </w:pPr>
            <w:r>
              <w:rPr>
                <w:rFonts w:ascii="Arial" w:cs="Arial" w:eastAsia="Arial" w:hAnsi="Arial"/>
                <w:b/>
                <w:bCs/>
                <w:color w:val="FFFFFF"/>
                <w:sz w:val="28"/>
                <w:szCs w:val="28"/>
              </w:rPr>
              <w:t xml:space="preserve">&lt; 90 Seconds</w:t>
            </w:r>
          </w:p>
          <w:p>
            <w:pPr>
              <w:jc w:val="center"/>
            </w:pPr>
            <w:r>
              <w:rPr>
                <w:rFonts w:ascii="Arial" w:cs="Arial" w:eastAsia="Arial" w:hAnsi="Arial"/>
                <w:color w:val="FFFFFF"/>
                <w:sz w:val="18"/>
                <w:szCs w:val="18"/>
              </w:rPr>
              <w:t xml:space="preserve">Time-to-first-GPU (p95)</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jc w:val="center"/>
            </w:pPr>
            <w:r>
              <w:rPr>
                <w:rFonts w:ascii="Arial" w:cs="Arial" w:eastAsia="Arial" w:hAnsi="Arial"/>
                <w:b/>
                <w:bCs/>
                <w:color w:val="FFFFFF"/>
                <w:sz w:val="28"/>
                <w:szCs w:val="28"/>
              </w:rPr>
              <w:t xml:space="preserve">~1 FTE</w:t>
            </w:r>
          </w:p>
          <w:p>
            <w:pPr>
              <w:jc w:val="center"/>
            </w:pPr>
            <w:r>
              <w:rPr>
                <w:rFonts w:ascii="Arial" w:cs="Arial" w:eastAsia="Arial" w:hAnsi="Arial"/>
                <w:color w:val="FFFFFF"/>
                <w:sz w:val="18"/>
                <w:szCs w:val="18"/>
              </w:rPr>
              <w:t xml:space="preserve">Ongoing maintenance</w:t>
            </w:r>
          </w:p>
        </w:tc>
      </w:tr>
    </w:tbl>
    <w:p>
      <w:pPr>
        <w:spacing w:after="200" w:before="200"/>
      </w:pPr>
      <w:r>
        <w:rPr>
          <w:sz w:val="22"/>
          <w:szCs w:val="22"/>
        </w:rPr>
        <w:t xml:space="preserve">Aegis is a working prototype deployed on AWS EKS with 40,000+ lines of production code across six components. It is not a concept—it is a functioning platform with demonstrated multi-cluster GPU scheduling, workspace launching, budget enforcement, and compliance controls.</w:t>
      </w:r>
    </w:p>
    <w:p>
      <w:pPr>
        <w:pStyle w:val="Heading1"/>
      </w:pPr>
      <w:r>
        <w:t xml:space="preserve">2. Problem Statement</w:t>
      </w:r>
    </w:p>
    <w:p>
      <w:pPr>
        <w:spacing w:after="200"/>
      </w:pPr>
      <w:r>
        <w:rPr>
          <w:sz w:val="22"/>
          <w:szCs w:val="22"/>
        </w:rPr>
        <w:t xml:space="preserve">Platform One has transformed how the DoD delivers software through DevSecOps. However, a critical gap remains: </w:t>
      </w:r>
      <w:r>
        <w:rPr>
          <w:b/>
          <w:bCs/>
          <w:sz w:val="22"/>
          <w:szCs w:val="22"/>
        </w:rPr>
        <w:t xml:space="preserve">GPU-accelerated AI/ML workload orchestration with integrated secure developer workspaces.</w:t>
      </w:r>
      <w:r>
        <w:rPr>
          <w:sz w:val="22"/>
          <w:szCs w:val="22"/>
        </w:rPr>
        <w:t xml:space="preserve"> DoD programs running AI/ML workloads on Platform One environments today face two compounding problems:</w:t>
      </w:r>
    </w:p>
    <w:p>
      <w:pPr>
        <w:pStyle w:val="Heading2"/>
      </w:pPr>
      <w:r>
        <w:t xml:space="preserve">Infrastructure Deployment Timeline</w:t>
      </w:r>
    </w:p>
    <w:p>
      <w:pPr>
        <w:spacing w:after="200"/>
      </w:pPr>
      <w:r>
        <w:rPr>
          <w:sz w:val="22"/>
          <w:szCs w:val="22"/>
        </w:rPr>
        <w:t xml:space="preserve">Standing up a CUI-compliant ML environment requires 3–6 months of infrastructure engineering. Each component—Transit Gateway, Network Firewall, identity federation, GPU node pools, Kubeflow—requires separate configuration, security review, and ATO documentation. Many DoD teams have attempted and abandoned full Kubeflow deployments because the platform requires assembling 20+ loosely coupled components (Istio, KNative, Argo, training operators) with 4–8 weeks of dedicated engineering and 1–2 FTEs for ongoing maintenance.</w:t>
      </w:r>
    </w:p>
    <w:p>
      <w:pPr>
        <w:pStyle w:val="Heading2"/>
      </w:pPr>
      <w:r>
        <w:t xml:space="preserve">Degraded Developer Experience</w:t>
      </w:r>
    </w:p>
    <w:p>
      <w:pPr>
        <w:spacing w:after="200"/>
      </w:pPr>
      <w:r>
        <w:rPr>
          <w:sz w:val="22"/>
          <w:szCs w:val="22"/>
        </w:rPr>
        <w:t xml:space="preserve">Once deployed, data scientists RDP into a Workspaces VM, open a browser, navigate to Kubeflow, and use Jupyter notebooks on a remote desktop. This eliminates local IDE extensions, introduces latency on every keystroke, prevents real debugging (breakpoints, variable inspection), and starts with a 5–10 minute VM boot. The result: measurably lower productivity and talent loss to commercial organizations that offer modern developer tooling.</w:t>
      </w:r>
    </w:p>
    <w:p>
      <w:pPr>
        <w:pStyle w:val="Heading1"/>
      </w:pPr>
      <w:r>
        <w:t xml:space="preserve">3. Proposed Solution</w:t>
      </w:r>
    </w:p>
    <w:p>
      <w:pPr>
        <w:spacing w:after="200"/>
      </w:pPr>
      <w:r>
        <w:rPr>
          <w:sz w:val="22"/>
          <w:szCs w:val="22"/>
        </w:rPr>
        <w:t xml:space="preserve">Aegis replaces the multi-month infrastructure assembly with a Helm chart deployment and replaces the degraded browser IDE with native VS Code on remote GPU hardware.</w:t>
      </w:r>
    </w:p>
    <w:p>
      <w:pPr>
        <w:pStyle w:val="Heading2"/>
      </w:pPr>
      <w:r>
        <w:t xml:space="preserve">Hub-and-Spoke Architecture</w:t>
      </w:r>
    </w:p>
    <w:p>
      <w:pPr>
        <w:spacing w:after="120"/>
      </w:pPr>
      <w:r>
        <w:rPr>
          <w:sz w:val="22"/>
          <w:szCs w:val="22"/>
        </w:rPr>
        <w:t xml:space="preserve">The </w:t>
      </w:r>
      <w:r>
        <w:rPr>
          <w:b/>
          <w:bCs/>
          <w:sz w:val="22"/>
          <w:szCs w:val="22"/>
        </w:rPr>
        <w:t xml:space="preserve">hub cluster</w:t>
      </w:r>
      <w:r>
        <w:rPr>
          <w:sz w:val="22"/>
          <w:szCs w:val="22"/>
        </w:rPr>
        <w:t xml:space="preserve"> runs three services: Platform API (Go, gRPC + REST gateway) for central orchestration, workload placement, and budget enforcement; Keycloak for OIDC authentication with MFA enforcement and CAC/PIV readiness; and an authenticated WebSocket proxy for VS Code workspace connections with single-use JWT token validation.</w:t>
      </w:r>
    </w:p>
    <w:p>
      <w:pPr>
        <w:spacing w:after="120"/>
      </w:pPr>
      <w:r>
        <w:rPr>
          <w:b/>
          <w:bCs/>
          <w:sz w:val="22"/>
          <w:szCs w:val="22"/>
        </w:rPr>
        <w:t xml:space="preserve">Spoke clusters</w:t>
      </w:r>
      <w:r>
        <w:rPr>
          <w:sz w:val="22"/>
          <w:szCs w:val="22"/>
        </w:rPr>
        <w:t xml:space="preserve"> run a lightweight Go agent (controller-runtime) that heartbeats outbound to the hub every 10 seconds—</w:t>
      </w:r>
      <w:r>
        <w:rPr>
          <w:b/>
          <w:bCs/>
          <w:sz w:val="22"/>
          <w:szCs w:val="22"/>
        </w:rPr>
        <w:t xml:space="preserve">no inbound firewall rules required on spoke networks.</w:t>
      </w:r>
      <w:r>
        <w:rPr>
          <w:sz w:val="22"/>
          <w:szCs w:val="22"/>
        </w:rPr>
        <w:t xml:space="preserve"> The agent reports GPU capacity, reconciles AegisWorkload CRDs into Kubernetes Jobs with Kueue queue annotations, and manages workspace pod lifecycle.</w:t>
      </w:r>
    </w:p>
    <w:p>
      <w:pPr>
        <w:pStyle w:val="Heading2"/>
      </w:pPr>
      <w:r>
        <w:t xml:space="preserve">Developer Workflow</w:t>
      </w:r>
    </w:p>
    <w:p>
      <w:pPr>
        <w:pStyle w:val="ListParagraph"/>
        <w:numPr>
          <w:ilvl w:val="0"/>
          <w:numId w:val="2"/>
        </w:numPr>
        <w:spacing w:after="60"/>
      </w:pPr>
      <w:r>
        <w:rPr>
          <w:sz w:val="22"/>
          <w:szCs w:val="22"/>
        </w:rPr>
        <w:t xml:space="preserve">Data scientist opens Backstage web UI or VS Code with Sovran extension</w:t>
      </w:r>
    </w:p>
    <w:p>
      <w:pPr>
        <w:pStyle w:val="ListParagraph"/>
        <w:numPr>
          <w:ilvl w:val="0"/>
          <w:numId w:val="2"/>
        </w:numPr>
        <w:spacing w:after="60"/>
      </w:pPr>
      <w:r>
        <w:rPr>
          <w:sz w:val="22"/>
          <w:szCs w:val="22"/>
        </w:rPr>
        <w:t xml:space="preserve">Authenticates via Keycloak OIDC with MFA</w:t>
      </w:r>
    </w:p>
    <w:p>
      <w:pPr>
        <w:pStyle w:val="ListParagraph"/>
        <w:numPr>
          <w:ilvl w:val="0"/>
          <w:numId w:val="2"/>
        </w:numPr>
        <w:spacing w:after="60"/>
      </w:pPr>
      <w:r>
        <w:rPr>
          <w:sz w:val="22"/>
          <w:szCs w:val="22"/>
        </w:rPr>
        <w:t xml:space="preserve">Selects GPU size (flavor), container image, and project/queue</w:t>
      </w:r>
    </w:p>
    <w:p>
      <w:pPr>
        <w:pStyle w:val="ListParagraph"/>
        <w:numPr>
          <w:ilvl w:val="0"/>
          <w:numId w:val="2"/>
        </w:numPr>
        <w:spacing w:after="60"/>
      </w:pPr>
      <w:r>
        <w:rPr>
          <w:sz w:val="22"/>
          <w:szCs w:val="22"/>
        </w:rPr>
        <w:t xml:space="preserve">Platform API runs placement algorithm and schedules workspace on optimal spoke cluster</w:t>
      </w:r>
    </w:p>
    <w:p>
      <w:pPr>
        <w:pStyle w:val="ListParagraph"/>
        <w:numPr>
          <w:ilvl w:val="0"/>
          <w:numId w:val="2"/>
        </w:numPr>
        <w:spacing w:after="60"/>
      </w:pPr>
      <w:r>
        <w:rPr>
          <w:sz w:val="22"/>
          <w:szCs w:val="22"/>
        </w:rPr>
        <w:t xml:space="preserve">Clicks “Connect” in VS Code — Sovran opens WebSocket tunnel through proxy</w:t>
      </w:r>
    </w:p>
    <w:p>
      <w:pPr>
        <w:pStyle w:val="ListParagraph"/>
        <w:numPr>
          <w:ilvl w:val="0"/>
          <w:numId w:val="2"/>
        </w:numPr>
        <w:spacing w:after="200"/>
      </w:pPr>
      <w:r>
        <w:rPr>
          <w:b/>
          <w:bCs/>
          <w:sz w:val="22"/>
          <w:szCs w:val="22"/>
        </w:rPr>
        <w:t xml:space="preserve">Native VS Code on GPU hardware in under 90 seconds — full terminal, debugging, port forwarding</w:t>
      </w:r>
    </w:p>
    <w:p>
      <w:pPr>
        <w:pStyle w:val="Heading1"/>
      </w:pPr>
      <w:r>
        <w:t xml:space="preserve">4. Platform One Integration</w:t>
      </w:r>
    </w:p>
    <w:p>
      <w:pPr>
        <w:spacing w:after="200"/>
      </w:pPr>
      <w:r>
        <w:rPr>
          <w:sz w:val="22"/>
          <w:szCs w:val="22"/>
        </w:rPr>
        <w:t xml:space="preserve">Aegis is designed for the Platform One ecosystem. It deploys as a Kubernetes-native application alongside Big Bang and fills a specific gap in the P1 toolchain: GPU workload orchestration with integrated secure developer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Aegis Approach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Iron Bank Images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All Aegis components built on Iron Bank-approved UBI9 base images. Non-root execution, read-only filesystems. SBOM generation via CycloneDX. Submission to repo1.dso.mil in progress.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Bang Compatibility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Helm chart deployment alongside Big Bang. Compatible with Istio service mesh, Prometheus monitoring, and Fluentd logging. No conflicts with Big Bang core components.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RKE2 / k3s Support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Kubernetes-native architecture runs on any conformant distribution. Validated on EKS; RKE2 and k3s support planned for production hardening 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cATO Pathway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Aegis deploys inside the customer’s existing ATO boundary. NIST 800-53 control implementation statements, OSCAL-formatted evidence export, and customer responsibility matrix accelerate ATO documentation.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Identity / Auth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Keycloak OIDC integrates with existing P1 identity providers. CAC/PIV ready. PKCE flows, TOTP/WebAuthn MFA enforcement.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FIPS Cryptography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designed for FIPS 140-3. BoringCrypto for Go services, UBI9 FIPS base images. Build configuration change, not architecture change. Concrete 2–4 week plan.</w:t>
            </w:r>
          </w:p>
        </w:tc>
      </w:tr>
    </w:tbl>
    <w:p>
      <w:pPr>
        <w:spacing w:after="200" w:before="200"/>
      </w:pPr>
      <w:r>
        <w:rPr>
          <w:b/>
          <w:bCs/>
          <w:sz w:val="22"/>
          <w:szCs w:val="22"/>
        </w:rPr>
        <w:t xml:space="preserve">Positioning: </w:t>
      </w:r>
      <w:r>
        <w:rPr>
          <w:sz w:val="22"/>
          <w:szCs w:val="22"/>
        </w:rPr>
        <w:t xml:space="preserve">Aegis is to GPU workload orchestration what Big Bang is to DevSecOps platform deployment. Big Bang provides CI/CD, monitoring, and service mesh. Aegis provides GPU scheduling, budget enforcement, and secure developer workspaces. They are complementary—not competitive.</w:t>
      </w:r>
    </w:p>
    <w:p>
      <w:pPr>
        <w:pStyle w:val="Heading1"/>
      </w:pPr>
      <w:r>
        <w:t xml:space="preserve">5. Security Architecture</w:t>
      </w:r>
    </w:p>
    <w:p>
      <w:pPr>
        <w:spacing w:after="200"/>
      </w:pPr>
      <w:r>
        <w:rPr>
          <w:sz w:val="22"/>
          <w:szCs w:val="22"/>
        </w:rPr>
        <w:t xml:space="preserve">Security controls are in the code path, not bolted on. Every component enforces authentication, authorization, and audit logging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Area</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Keycloak OIDC with PKCE flows, MFA enforcement (TOTP + WebAuthn), CAC/PIV readiness. Realm auto-provisioned during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Fail-closed RBAC: empty bindings deny all access. Scoped by project, queue, and client. Budget enforcement with HARD (reject) and SOFT (warn) modes.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Session Security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Single-use JWT tokens with JTI enforcement, audience restriction, and 5-minute TTL. Token replay detection. 85% TTL auto-renewal via Sovran extension.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Outbound-only spoke connectivity (zero inbound firewall rules). Default-deny network policies. Internal PKI via step-ca + cert-manager. mTLS for service-to-service.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Audit Logging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Structured JSON audit events: type, subject, resource, action, outcome, source IP, timestamp. PostgreSQL persistence. SIEM-compatible export.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Multi-Tenancy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Per-project namespace isolation, per-project AWS credentials, cluster-project binding. Project A cannot see Project B’s workloads, budgets, or clusters.</w:t>
            </w:r>
          </w:p>
        </w:tc>
      </w:tr>
    </w:tbl>
    <w:p>
      <w:r>
        <w:br w:type="page"/>
      </w:r>
    </w:p>
    <w:p>
      <w:pPr>
        <w:pStyle w:val="Heading1"/>
      </w:pPr>
      <w:r>
        <w:t xml:space="preserve">6. Current Implementation Status</w:t>
      </w:r>
    </w:p>
    <w:p>
      <w:pPr>
        <w:spacing w:after="200"/>
      </w:pPr>
      <w:r>
        <w:rPr>
          <w:sz w:val="22"/>
          <w:szCs w:val="22"/>
        </w:rPr>
        <w:t xml:space="preserve">Aegis is a working prototype, not a concept. The following table summarizes the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Platform API (hub orchestration)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Go / gRPC</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 Agent (spoke controller)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 controller-runtime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WebSocket Proxy</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Go</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Sovran (VS Code Extension)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Backstage UI (23 pages)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TypeScript / React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Helm Charts (hub + spoke)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AWS EKS Provisioning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Pulumi Automation API</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Keycloak OIDC + MFA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Keycloak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Budget Enforcement (HARD/SOFT)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PostgreSQL + Prometheus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Audit Logging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Fail-Closed RBAC</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Custom Go middleware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PKI</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step-ca + cert-manager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Built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Iron Bank Image Hardening</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UBI9 base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5B6"/>
                <w:sz w:val="20"/>
                <w:szCs w:val="20"/>
              </w:rPr>
              <w:t xml:space="preserve">In Progress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FIPS 140-3 Cryptography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BoringCrypto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Planned</w:t>
            </w:r>
          </w:p>
        </w:tc>
      </w:tr>
    </w:tbl>
    <w:p>
      <w:pPr>
        <w:spacing w:after="200" w:before="200"/>
      </w:pPr>
      <w:r>
        <w:rPr>
          <w:sz w:val="22"/>
          <w:szCs w:val="22"/>
        </w:rPr>
        <w:t xml:space="preserve">Total codebase: 40,000+ lines across Go, TypeScript, React, YAML, and HCL. Deployed and operational on AWS EKS with end-to-end workspace launching, VS Code connection, and budget enforcement demonstrated.</w:t>
      </w:r>
    </w:p>
    <w:p>
      <w:pPr>
        <w:pStyle w:val="Heading1"/>
      </w:pPr>
      <w:r>
        <w:t xml:space="preserve">7. Competitive Differentiation</w:t>
      </w:r>
    </w:p>
    <w:p>
      <w:pPr>
        <w:spacing w:after="200"/>
      </w:pPr>
      <w:r>
        <w:rPr>
          <w:sz w:val="22"/>
          <w:szCs w:val="22"/>
        </w:rPr>
        <w:t xml:space="preserve">No existing product combines multi-cluster GPU scheduling, outbound-only spoke connectivity, integrated VS Code workspaces, and DoD compliance controls in a single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35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Aegis</w:t>
            </w:r>
          </w:p>
        </w:tc>
        <w:tc>
          <w:tcPr>
            <w:tcW w:type="dxa" w:w="135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Run:ai</w:t>
            </w:r>
          </w:p>
        </w:tc>
        <w:tc>
          <w:tcPr>
            <w:tcW w:type="dxa" w:w="135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Domino</w:t>
            </w:r>
          </w:p>
        </w:tc>
        <w:tc>
          <w:tcPr>
            <w:tcW w:type="dxa" w:w="135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Kubeflow</w:t>
            </w:r>
          </w:p>
        </w:tc>
        <w:tc>
          <w:tcPr>
            <w:tcW w:type="dxa" w:w="135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P1 Today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Multi-cluster GPU scheduling</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VS Code workspaces</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Partial</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Partial</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Outbound-only spoke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666666"/>
                <w:sz w:val="20"/>
                <w:szCs w:val="20"/>
              </w:rPr>
              <w:t xml:space="preserve">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CAC/PIV OIDC</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Partial</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20"/>
                <w:szCs w:val="20"/>
              </w:rPr>
              <w:t xml:space="preserve">Partial</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Budget enforcement</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666666"/>
                <w:sz w:val="20"/>
                <w:szCs w:val="20"/>
              </w:rPr>
              <w:t xml:space="preserve">Partial</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in &lt; 1 week</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3333"/>
                <w:sz w:val="20"/>
                <w:szCs w:val="20"/>
              </w:rPr>
              <w:t xml:space="preserve">✗</w:t>
            </w:r>
          </w:p>
        </w:tc>
        <w:tc>
          <w:tcPr>
            <w:tcW w:type="dxa" w:w="13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Self-hosted / air-gapped</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c>
          <w:tcPr>
            <w:tcW w:type="dxa" w:w="13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7A3A"/>
                <w:sz w:val="20"/>
                <w:szCs w:val="20"/>
              </w:rPr>
              <w:t xml:space="preserve">✓</w:t>
            </w:r>
          </w:p>
        </w:tc>
      </w:tr>
    </w:tbl>
    <w:p>
      <w:pPr>
        <w:pStyle w:val="Heading1"/>
        <w:spacing w:before="300"/>
      </w:pPr>
      <w:r>
        <w:t xml:space="preserve">8. Cost Advantage</w:t>
      </w:r>
    </w:p>
    <w:p>
      <w:pPr>
        <w:spacing w:after="200"/>
      </w:pPr>
      <w:r>
        <w:rPr>
          <w:sz w:val="22"/>
          <w:szCs w:val="22"/>
        </w:rPr>
        <w:t xml:space="preserve">Organizations building CUI-compliant ML environments from infrastructure primitives incur $1.2M–$2.3M per year in platform engineering, Kubeflow maintenance, developer productivity loss, and infrastructure overhead. Aegis replaces this at a fraction of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Aegis (Annual)</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Aegis (Annual)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engineering: $600K–$1.2M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Aegis license: $350K–$500K
</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Kubeflow maintenance: $200K–$400K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shd/>
              </w:rPr>
              <w:t xml:space="preserve">Deployment + onboarding: $50K–$100K (Y1)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productivity loss: $300K–$600K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 maintenance: $100K–$200K</w:t>
            </w:r>
          </w:p>
        </w:tc>
      </w:tr>
      <w:tr>
        <w:tc>
          <w:tcPr>
            <w:tcW w:type="dxa" w:w="4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3333"/>
                <w:sz w:val="22"/>
                <w:szCs w:val="22"/>
              </w:rPr>
              <w:t xml:space="preserve">Total: $1.2M–$2.3M/year</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1A7A3A"/>
                <w:sz w:val="22"/>
                <w:szCs w:val="22"/>
              </w:rPr>
              <w:t xml:space="preserve">Total: $500K–$800K/year</w:t>
            </w:r>
          </w:p>
        </w:tc>
      </w:tr>
    </w:tbl>
    <w:p>
      <w:pPr>
        <w:pStyle w:val="Heading1"/>
        <w:spacing w:before="300"/>
      </w:pPr>
      <w:r>
        <w:t xml:space="preserve">9. P1SM Strategic Focus Alignment</w:t>
      </w:r>
    </w:p>
    <w:p>
      <w:pPr>
        <w:pStyle w:val="ListParagraph"/>
        <w:numPr>
          <w:ilvl w:val="0"/>
          <w:numId w:val="3"/>
        </w:numPr>
        <w:spacing w:after="100"/>
      </w:pPr>
      <w:r>
        <w:rPr>
          <w:b/>
          <w:bCs/>
          <w:sz w:val="22"/>
          <w:szCs w:val="22"/>
        </w:rPr>
        <w:t xml:space="preserve">DevSecOps: </w:t>
      </w:r>
      <w:r>
        <w:rPr>
          <w:sz w:val="22"/>
          <w:szCs w:val="22"/>
        </w:rPr>
        <w:t xml:space="preserve">Aegis extends DevSecOps into GPU workload management. Helm-based deployment, Iron Bank images, GitOps-compatible configuration, and Prometheus metrics integrate directly with existing P1 DevSecOps pipelines.</w:t>
      </w:r>
    </w:p>
    <w:p>
      <w:pPr>
        <w:pStyle w:val="ListParagraph"/>
        <w:numPr>
          <w:ilvl w:val="0"/>
          <w:numId w:val="3"/>
        </w:numPr>
        <w:spacing w:after="100"/>
      </w:pPr>
      <w:r>
        <w:rPr>
          <w:b/>
          <w:bCs/>
          <w:sz w:val="22"/>
          <w:szCs w:val="22"/>
        </w:rPr>
        <w:t xml:space="preserve">Cybersecurity: </w:t>
      </w:r>
      <w:r>
        <w:rPr>
          <w:sz w:val="22"/>
          <w:szCs w:val="22"/>
        </w:rPr>
        <w:t xml:space="preserve">Zero-trust architecture with OIDC+MFA authentication, fail-closed RBAC, single-use session tokens, outbound-only spoke connectivity, default-deny network policies, and structured audit logging for SIEM integration.</w:t>
      </w:r>
    </w:p>
    <w:p>
      <w:pPr>
        <w:pStyle w:val="ListParagraph"/>
        <w:numPr>
          <w:ilvl w:val="0"/>
          <w:numId w:val="3"/>
        </w:numPr>
        <w:spacing w:after="100"/>
      </w:pPr>
      <w:r>
        <w:rPr>
          <w:b/>
          <w:bCs/>
          <w:sz w:val="22"/>
          <w:szCs w:val="22"/>
        </w:rPr>
        <w:t xml:space="preserve">Application Development: </w:t>
      </w:r>
      <w:r>
        <w:rPr>
          <w:sz w:val="22"/>
          <w:szCs w:val="22"/>
        </w:rPr>
        <w:t xml:space="preserve">Native VS Code workspaces on GPU hardware transform the AI/ML developer experience. Full IDE capabilities—debugging, extensions, port forwarding—replace the browser-through-VM workflow.</w:t>
      </w:r>
    </w:p>
    <w:p>
      <w:pPr>
        <w:pStyle w:val="ListParagraph"/>
        <w:numPr>
          <w:ilvl w:val="0"/>
          <w:numId w:val="3"/>
        </w:numPr>
        <w:spacing w:after="200"/>
      </w:pPr>
      <w:r>
        <w:rPr>
          <w:b/>
          <w:bCs/>
          <w:sz w:val="22"/>
          <w:szCs w:val="22"/>
        </w:rPr>
        <w:t xml:space="preserve">Edge Computing: </w:t>
      </w:r>
      <w:r>
        <w:rPr>
          <w:sz w:val="22"/>
          <w:szCs w:val="22"/>
        </w:rPr>
        <w:t xml:space="preserve">Outbound-only spoke architecture deploys at forward/edge locations with zero inbound firewall rules. Air-gap capable with offline content delivery. Self-hosted—no internet dependency at runtime.</w:t>
      </w:r>
    </w:p>
    <w:p>
      <w:pPr>
        <w:pStyle w:val="Heading1"/>
      </w:pPr>
      <w:r>
        <w:t xml:space="preserve">10. Company Qualifications</w:t>
      </w:r>
    </w:p>
    <w:p>
      <w:pPr>
        <w:spacing w:after="120"/>
      </w:pPr>
      <w:r>
        <w:rPr>
          <w:b/>
          <w:bCs/>
          <w:sz w:val="22"/>
          <w:szCs w:val="22"/>
        </w:rPr>
        <w:t xml:space="preserve">Carlos Sanchez, Principal / Sole Founder</w:t>
      </w:r>
    </w:p>
    <w:p>
      <w:pPr>
        <w:pStyle w:val="ListParagraph"/>
        <w:numPr>
          <w:ilvl w:val="0"/>
          <w:numId w:val="3"/>
        </w:numPr>
        <w:spacing w:after="100"/>
      </w:pPr>
      <w:r>
        <w:rPr>
          <w:sz w:val="22"/>
          <w:szCs w:val="22"/>
        </w:rPr>
        <w:t xml:space="preserve">5+ years defense infrastructure engineering—built the exact multi-month AWS GovCloud CUI ML environment that Aegis replaces</w:t>
      </w:r>
    </w:p>
    <w:p>
      <w:pPr>
        <w:pStyle w:val="ListParagraph"/>
        <w:numPr>
          <w:ilvl w:val="0"/>
          <w:numId w:val="3"/>
        </w:numPr>
        <w:spacing w:after="100"/>
      </w:pPr>
      <w:r>
        <w:rPr>
          <w:sz w:val="22"/>
          <w:szCs w:val="22"/>
        </w:rPr>
        <w:t xml:space="preserve">Deep Kubernetes expertise: controller-runtime operators, Helm authoring, multi-cluster management</w:t>
      </w:r>
    </w:p>
    <w:p>
      <w:pPr>
        <w:pStyle w:val="ListParagraph"/>
        <w:numPr>
          <w:ilvl w:val="0"/>
          <w:numId w:val="3"/>
        </w:numPr>
        <w:spacing w:after="100"/>
      </w:pPr>
      <w:r>
        <w:rPr>
          <w:sz w:val="22"/>
          <w:szCs w:val="22"/>
        </w:rPr>
        <w:t xml:space="preserve">Go systems programming: gRPC services, WebSocket proxies, JWT/OIDC authentication</w:t>
      </w:r>
    </w:p>
    <w:p>
      <w:pPr>
        <w:pStyle w:val="ListParagraph"/>
        <w:numPr>
          <w:ilvl w:val="0"/>
          <w:numId w:val="3"/>
        </w:numPr>
        <w:spacing w:after="100"/>
      </w:pPr>
      <w:r>
        <w:rPr>
          <w:sz w:val="22"/>
          <w:szCs w:val="22"/>
        </w:rPr>
        <w:t xml:space="preserve">Active Platform One access with repo1.dso.mil account</w:t>
      </w:r>
    </w:p>
    <w:p>
      <w:pPr>
        <w:pStyle w:val="ListParagraph"/>
        <w:numPr>
          <w:ilvl w:val="0"/>
          <w:numId w:val="3"/>
        </w:numPr>
        <w:spacing w:after="200"/>
      </w:pPr>
      <w:r>
        <w:rPr>
          <w:sz w:val="22"/>
          <w:szCs w:val="22"/>
        </w:rPr>
        <w:t xml:space="preserve">Active security clearance and Air Force program experience</w:t>
      </w:r>
    </w:p>
    <w:p>
      <w:pPr>
        <w:spacing w:after="200"/>
      </w:pPr>
      <w:r>
        <w:rPr>
          <w:sz w:val="22"/>
          <w:szCs w:val="22"/>
        </w:rPr>
        <w:t xml:space="preserve">Aegis Platform LLC is a Virginia-based small business (NAICS 511210) with SAM.gov registration in progress. The company holds active access to Platform One’s repo1.dso.mil and has initiated Iron Bank container image submissions.</w:t>
      </w:r>
    </w:p>
    <w:p>
      <w:pPr>
        <w:pBdr>
          <w:top w:val="single" w:color="2E75B6" w:sz="4" w:space="8"/>
        </w:pBdr>
        <w:spacing w:before="300"/>
      </w:pPr>
    </w:p>
    <w:p>
      <w:pPr>
        <w:spacing w:after="60"/>
      </w:pPr>
      <w:r>
        <w:rPr>
          <w:b/>
          <w:bCs/>
          <w:color w:val="1B3A5C"/>
          <w:sz w:val="26"/>
          <w:szCs w:val="26"/>
        </w:rPr>
        <w:t xml:space="preserve">Contact</w:t>
      </w:r>
    </w:p>
    <w:p>
      <w:pPr>
        <w:spacing w:after="40"/>
      </w:pPr>
      <w:r>
        <w:rPr>
          <w:sz w:val="22"/>
          <w:szCs w:val="22"/>
        </w:rPr>
        <w:t xml:space="preserve">Carlos Sanchez  |  Aegis Platform LLC  |  Virginia, USA</w:t>
      </w:r>
    </w:p>
    <w:p>
      <w:pPr>
        <w:spacing w:after="40"/>
      </w:pPr>
      <w:r>
        <w:rPr>
          <w:color w:val="666666"/>
          <w:sz w:val="20"/>
          <w:szCs w:val="20"/>
        </w:rPr>
        <w:t xml:space="preserve">Platform One Access: repo1.dso.mil (active)</w:t>
      </w:r>
    </w:p>
    <w:p>
      <w:r>
        <w:rPr>
          <w:color w:val="666666"/>
          <w:sz w:val="20"/>
          <w:szCs w:val="20"/>
        </w:rPr>
        <w:t xml:space="preserve">Demo available upon request  |  Live deployment at aegis-platform.tech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666666"/>
        <w:sz w:val="16"/>
        <w:szCs w:val="16"/>
      </w:rPr>
      <w:t xml:space="preserve">Aegis Platform LLC</w:t>
    </w:r>
    <w:r>
      <w:rPr>
        <w:rFonts w:ascii="Arial" w:cs="Arial" w:eastAsia="Arial" w:hAnsi="Arial"/>
        <w:color w:val="666666"/>
        <w:sz w:val="16"/>
        <w:szCs w:val="16"/>
      </w:rPr>
      <w:t xml:space="preserve">  |  P1SM Solution Brief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2026-03-23T17:36:28.294Z</dcterms:created>
  <dcterms:modified xsi:type="dcterms:W3CDTF">2026-03-23T17:36:28.294Z</dcterms:modified>
</cp:coreProperties>
</file>

<file path=docProps/custom.xml><?xml version="1.0" encoding="utf-8"?>
<Properties xmlns="http://schemas.openxmlformats.org/officeDocument/2006/custom-properties" xmlns:vt="http://schemas.openxmlformats.org/officeDocument/2006/docPropsVTypes"/>
</file>