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Hackathon Use Case for Engineering Students: AI-Powered GxP Validation &amp; Agentic CSV</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td6ocwxijq"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Welcome to the Hackathon and the Regeneron track. Your mission, should you choose this one, could be to revolutionize </w:t>
      </w:r>
      <w:r w:rsidDel="00000000" w:rsidR="00000000" w:rsidRPr="00000000">
        <w:rPr>
          <w:b w:val="1"/>
          <w:bCs w:val="1"/>
          <w:rtl w:val="0"/>
        </w:rPr>
        <w:t xml:space="preserve">Computerized Systems Validation (CSV)</w:t>
      </w:r>
      <w:r w:rsidDel="00000000" w:rsidR="00000000" w:rsidRPr="00000000">
        <w:rPr>
          <w:rtl w:val="0"/>
        </w:rPr>
        <w:t xml:space="preserve"> using AI agents. In the pharmaceutical and biotech industries, software isn't just "shipped"—it is </w:t>
      </w:r>
      <w:r w:rsidDel="00000000" w:rsidR="00000000" w:rsidRPr="00000000">
        <w:rPr>
          <w:b w:val="1"/>
          <w:bCs w:val="1"/>
          <w:rtl w:val="0"/>
        </w:rPr>
        <w:t xml:space="preserve">validated</w:t>
      </w:r>
      <w:r w:rsidDel="00000000" w:rsidR="00000000" w:rsidRPr="00000000">
        <w:rPr>
          <w:rtl w:val="0"/>
        </w:rPr>
        <w:t xml:space="preserve">. This means providing documented evidence that a system does exactly what it is designed to do, every single time, in compliance with regulatory EMA (Annex 11) and FDA (21 CFR Part 11) standards.</w:t>
      </w:r>
    </w:p>
    <w:p w:rsidR="00000000" w:rsidDel="00000000" w:rsidP="00000000" w:rsidRDefault="00000000" w:rsidRPr="00000000" w14:paraId="00000004">
      <w:pPr>
        <w:spacing w:after="240" w:before="240" w:lineRule="auto"/>
        <w:rPr/>
      </w:pPr>
      <w:r w:rsidDel="00000000" w:rsidR="00000000" w:rsidRPr="00000000">
        <w:rPr>
          <w:rtl w:val="0"/>
        </w:rPr>
        <w:t xml:space="preserve">Oh. CSV is not comma separated values here, to be clear. It’s Computerized System Validation.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5hlnh3g8m1" w:id="1"/>
      <w:bookmarkEnd w:id="1"/>
      <w:r w:rsidDel="00000000" w:rsidR="00000000" w:rsidRPr="00000000">
        <w:rPr>
          <w:b w:val="1"/>
          <w:bCs w:val="1"/>
          <w:sz w:val="34"/>
          <w:szCs w:val="34"/>
          <w:rtl w:val="0"/>
        </w:rPr>
        <w:t xml:space="preserve">2. Engineering Validation vs. "Good" Engineering</w:t>
      </w:r>
    </w:p>
    <w:p w:rsidR="00000000" w:rsidDel="00000000" w:rsidP="00000000" w:rsidRDefault="00000000" w:rsidRPr="00000000" w14:paraId="00000006">
      <w:pPr>
        <w:spacing w:after="240" w:before="240" w:lineRule="auto"/>
        <w:rPr/>
      </w:pPr>
      <w:r w:rsidDel="00000000" w:rsidR="00000000" w:rsidRPr="00000000">
        <w:rPr>
          <w:rtl w:val="0"/>
        </w:rPr>
        <w:t xml:space="preserve">In traditional software development, "Good Engineering" emphasizes </w:t>
      </w:r>
      <w:r w:rsidDel="00000000" w:rsidR="00000000" w:rsidRPr="00000000">
        <w:rPr>
          <w:b w:val="1"/>
          <w:bCs w:val="1"/>
          <w:rtl w:val="0"/>
        </w:rPr>
        <w:t xml:space="preserve">Agility, CI/CD, and fast iteration</w:t>
      </w:r>
      <w:r w:rsidDel="00000000" w:rsidR="00000000" w:rsidRPr="00000000">
        <w:rPr>
          <w:rtl w:val="0"/>
        </w:rPr>
        <w:t xml:space="preserve">. However, in GxP (Good Practice) industries, validation has historically been synonymous with </w:t>
      </w:r>
      <w:r w:rsidDel="00000000" w:rsidR="00000000" w:rsidRPr="00000000">
        <w:rPr>
          <w:b w:val="1"/>
          <w:bCs w:val="1"/>
          <w:rtl w:val="0"/>
        </w:rPr>
        <w:t xml:space="preserve">rigidity, manual oversight, and heavy documentation</w:t>
      </w:r>
      <w:r w:rsidDel="00000000" w:rsidR="00000000" w:rsidRPr="00000000">
        <w:rPr>
          <w:rtl w:val="0"/>
        </w:rPr>
        <w:t xml:space="preserv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zd9q8ws2xve" w:id="2"/>
      <w:bookmarkEnd w:id="2"/>
      <w:r w:rsidDel="00000000" w:rsidR="00000000" w:rsidRPr="00000000">
        <w:rPr>
          <w:b w:val="1"/>
          <w:bCs w:val="1"/>
          <w:color w:val="000000"/>
          <w:sz w:val="26"/>
          <w:szCs w:val="26"/>
          <w:rtl w:val="0"/>
        </w:rPr>
        <w:t xml:space="preserve">The "V-Model"</w:t>
      </w:r>
    </w:p>
    <w:p w:rsidR="00000000" w:rsidDel="00000000" w:rsidP="00000000" w:rsidRDefault="00000000" w:rsidRPr="00000000" w14:paraId="00000008">
      <w:pPr>
        <w:spacing w:after="240" w:before="240" w:lineRule="auto"/>
        <w:rPr/>
      </w:pPr>
      <w:r w:rsidDel="00000000" w:rsidR="00000000" w:rsidRPr="00000000">
        <w:rPr>
          <w:rtl w:val="0"/>
        </w:rPr>
        <w:t xml:space="preserve">The industry standard for decades has been the V-Model. It links requirements directly to testing in a linear fashion:</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URS (User Requirements):</w:t>
      </w:r>
      <w:r w:rsidDel="00000000" w:rsidR="00000000" w:rsidRPr="00000000">
        <w:rPr>
          <w:rtl w:val="0"/>
        </w:rPr>
        <w:t xml:space="preserve"> What does the user need?</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FS (Functional Specs):</w:t>
      </w:r>
      <w:r w:rsidDel="00000000" w:rsidR="00000000" w:rsidRPr="00000000">
        <w:rPr>
          <w:rtl w:val="0"/>
        </w:rPr>
        <w:t xml:space="preserve"> What will the system do?</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DS (Design Specs):</w:t>
      </w:r>
      <w:r w:rsidDel="00000000" w:rsidR="00000000" w:rsidRPr="00000000">
        <w:rPr>
          <w:rtl w:val="0"/>
        </w:rPr>
        <w:t xml:space="preserve"> How is it built?</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Testing (IQ/OQ/PQ):</w:t>
      </w:r>
      <w:r w:rsidDel="00000000" w:rsidR="00000000" w:rsidRPr="00000000">
        <w:rPr>
          <w:rtl w:val="0"/>
        </w:rPr>
        <w:t xml:space="preserve"> Proving the installation, operation, and performance match the specs.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9pkvnxd64gb" w:id="3"/>
      <w:bookmarkEnd w:id="3"/>
      <w:r w:rsidDel="00000000" w:rsidR="00000000" w:rsidRPr="00000000">
        <w:rPr>
          <w:b w:val="1"/>
          <w:bCs w:val="1"/>
          <w:color w:val="000000"/>
          <w:sz w:val="26"/>
          <w:szCs w:val="26"/>
          <w:rtl w:val="0"/>
        </w:rPr>
        <w:t xml:space="preserve">The Problem: Why We Need You</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The "Paper Waterfall":</w:t>
      </w:r>
      <w:r w:rsidDel="00000000" w:rsidR="00000000" w:rsidRPr="00000000">
        <w:rPr>
          <w:rtl w:val="0"/>
        </w:rPr>
        <w:t xml:space="preserve"> Companies often create thousands of pages of PDF evidence manually. This "Validation Tax" can consume 50–70% of a project's budget.</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The Bottleneck:</w:t>
      </w:r>
      <w:r w:rsidDel="00000000" w:rsidR="00000000" w:rsidRPr="00000000">
        <w:rPr>
          <w:rtl w:val="0"/>
        </w:rPr>
        <w:t xml:space="preserve"> Typical cycle times for validating a new clinical system range from </w:t>
      </w:r>
      <w:r w:rsidDel="00000000" w:rsidR="00000000" w:rsidRPr="00000000">
        <w:rPr>
          <w:b w:val="1"/>
          <w:bCs w:val="1"/>
          <w:rtl w:val="0"/>
        </w:rPr>
        <w:t xml:space="preserve">6 to 12 months</w:t>
      </w:r>
      <w:r w:rsidDel="00000000" w:rsidR="00000000" w:rsidRPr="00000000">
        <w:rPr>
          <w:rtl w:val="0"/>
        </w:rPr>
        <w:t xml:space="preserve">.</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Modern Shift:</w:t>
      </w:r>
      <w:r w:rsidDel="00000000" w:rsidR="00000000" w:rsidRPr="00000000">
        <w:rPr>
          <w:rtl w:val="0"/>
        </w:rPr>
        <w:t xml:space="preserve"> The FDA is pushing </w:t>
      </w:r>
      <w:r w:rsidDel="00000000" w:rsidR="00000000" w:rsidRPr="00000000">
        <w:rPr>
          <w:b w:val="1"/>
          <w:bCs w:val="1"/>
          <w:rtl w:val="0"/>
        </w:rPr>
        <w:t xml:space="preserve">Computer Software Assurance (CSA)</w:t>
      </w:r>
      <w:r w:rsidDel="00000000" w:rsidR="00000000" w:rsidRPr="00000000">
        <w:rPr>
          <w:rtl w:val="0"/>
        </w:rPr>
        <w:t xml:space="preserve">, which encourages risk-based "Critical Thinking" over "Documenting everything for the sake of documenting." But most companies still need to produce CSV validation evidence.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qvan6qe4d4l7" w:id="4"/>
      <w:bookmarkEnd w:id="4"/>
      <w:r w:rsidDel="00000000" w:rsidR="00000000" w:rsidRPr="00000000">
        <w:rPr>
          <w:b w:val="1"/>
          <w:bCs w:val="1"/>
          <w:sz w:val="34"/>
          <w:szCs w:val="34"/>
          <w:rtl w:val="0"/>
        </w:rPr>
        <w:t xml:space="preserve">3. The Challenge: Building the "Meta-Validator"</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Your Hackathon entry is NOT the clinical software itself.</w:t>
      </w:r>
      <w:r w:rsidDel="00000000" w:rsidR="00000000" w:rsidRPr="00000000">
        <w:rPr>
          <w:rtl w:val="0"/>
        </w:rPr>
        <w:t xml:space="preserve"> Your entry is an </w:t>
      </w:r>
      <w:r w:rsidDel="00000000" w:rsidR="00000000" w:rsidRPr="00000000">
        <w:rPr>
          <w:b w:val="1"/>
          <w:bCs w:val="1"/>
          <w:rtl w:val="0"/>
        </w:rPr>
        <w:t xml:space="preserve">AI-enabled CSV Solution</w:t>
      </w:r>
      <w:r w:rsidDel="00000000" w:rsidR="00000000" w:rsidRPr="00000000">
        <w:rPr>
          <w:rtl w:val="0"/>
        </w:rPr>
        <w:t xml:space="preserve">—a system of agents designed to automate the validation of </w:t>
      </w:r>
      <w:r w:rsidDel="00000000" w:rsidR="00000000" w:rsidRPr="00000000">
        <w:rPr>
          <w:i w:val="1"/>
          <w:iCs w:val="1"/>
          <w:rtl w:val="0"/>
        </w:rPr>
        <w:t xml:space="preserve">other</w:t>
      </w:r>
      <w:r w:rsidDel="00000000" w:rsidR="00000000" w:rsidRPr="00000000">
        <w:rPr>
          <w:rtl w:val="0"/>
        </w:rPr>
        <w:t xml:space="preserve"> software. You will use "Toy Use Cases" (like those below) to demonstrate how your AI agents can ingest raw code and requirements and output a production-ready, validated package. </w:t>
      </w:r>
    </w:p>
    <w:p w:rsidR="00000000" w:rsidDel="00000000" w:rsidP="00000000" w:rsidRDefault="00000000" w:rsidRPr="00000000" w14:paraId="00000013">
      <w:pPr>
        <w:spacing w:after="240" w:before="240" w:lineRule="auto"/>
        <w:rPr/>
      </w:pPr>
      <w:r w:rsidDel="00000000" w:rsidR="00000000" w:rsidRPr="00000000">
        <w:rPr>
          <w:rtl w:val="0"/>
        </w:rPr>
        <w:t xml:space="preserve">In fact, those toy use cases will probably have validation gaps and need the AI validation solution to not just find the gaps but recommend and even implement ways to close those gaps.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lodaf9lgssfp" w:id="5"/>
      <w:bookmarkEnd w:id="5"/>
      <w:r w:rsidDel="00000000" w:rsidR="00000000" w:rsidRPr="00000000">
        <w:rPr>
          <w:b w:val="1"/>
          <w:bCs w:val="1"/>
          <w:color w:val="000000"/>
          <w:sz w:val="26"/>
          <w:szCs w:val="26"/>
          <w:rtl w:val="0"/>
        </w:rPr>
        <w:t xml:space="preserve">Recursive Validation (The "Pro" Move)</w:t>
      </w:r>
    </w:p>
    <w:p w:rsidR="00000000" w:rsidDel="00000000" w:rsidP="00000000" w:rsidRDefault="00000000" w:rsidRPr="00000000" w14:paraId="00000015">
      <w:pPr>
        <w:spacing w:after="240" w:before="240" w:lineRule="auto"/>
        <w:rPr/>
      </w:pPr>
      <w:r w:rsidDel="00000000" w:rsidR="00000000" w:rsidRPr="00000000">
        <w:rPr>
          <w:rtl w:val="0"/>
        </w:rPr>
        <w:t xml:space="preserve">The winning CSV solution should be able to ingest a </w:t>
      </w:r>
      <w:r w:rsidDel="00000000" w:rsidR="00000000" w:rsidRPr="00000000">
        <w:rPr>
          <w:b w:val="1"/>
          <w:bCs w:val="1"/>
          <w:rtl w:val="0"/>
        </w:rPr>
        <w:t xml:space="preserve">different</w:t>
      </w:r>
      <w:r w:rsidDel="00000000" w:rsidR="00000000" w:rsidRPr="00000000">
        <w:rPr>
          <w:rtl w:val="0"/>
        </w:rPr>
        <w:t xml:space="preserve"> team's project and generate a validation report for it. If your AI can tell another team, </w:t>
      </w:r>
      <w:r w:rsidDel="00000000" w:rsidR="00000000" w:rsidRPr="00000000">
        <w:rPr>
          <w:i w:val="1"/>
          <w:iCs w:val="1"/>
          <w:rtl w:val="0"/>
        </w:rPr>
        <w:t xml:space="preserve">"Your code is missing a check for data integrity as per Annex 11,"</w:t>
      </w:r>
      <w:r w:rsidDel="00000000" w:rsidR="00000000" w:rsidRPr="00000000">
        <w:rPr>
          <w:rtl w:val="0"/>
        </w:rPr>
        <w:t xml:space="preserve"> you have built a world-class GxP tool.</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f64x4kni4qfo" w:id="6"/>
      <w:bookmarkEnd w:id="6"/>
      <w:r w:rsidDel="00000000" w:rsidR="00000000" w:rsidRPr="00000000">
        <w:rPr>
          <w:b w:val="1"/>
          <w:bCs w:val="1"/>
          <w:sz w:val="34"/>
          <w:szCs w:val="34"/>
          <w:rtl w:val="0"/>
        </w:rPr>
        <w:t xml:space="preserve">4. Toy Use Cases (To Demonstrate Your CSV Agent)</w:t>
      </w:r>
    </w:p>
    <w:p w:rsidR="00000000" w:rsidDel="00000000" w:rsidP="00000000" w:rsidRDefault="00000000" w:rsidRPr="00000000" w14:paraId="00000017">
      <w:pPr>
        <w:spacing w:after="240" w:before="240" w:lineRule="auto"/>
        <w:rPr/>
      </w:pPr>
      <w:r w:rsidDel="00000000" w:rsidR="00000000" w:rsidRPr="00000000">
        <w:rPr>
          <w:rtl w:val="0"/>
        </w:rPr>
        <w:t xml:space="preserve">Use these as the "target" systems that your AI agents will validate:</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bCs w:val="1"/>
          <w:rtl w:val="0"/>
        </w:rPr>
        <w:t xml:space="preserve">Toy Case A: The CDM Query Bot:</w:t>
      </w:r>
      <w:r w:rsidDel="00000000" w:rsidR="00000000" w:rsidRPr="00000000">
        <w:rPr>
          <w:rtl w:val="0"/>
        </w:rPr>
        <w:t xml:space="preserve"> A tool that identifies anomalies in clinical data (e.g., Blood Pressure &gt; 180) and drafts a query for a doctor. </w:t>
      </w:r>
      <w:r w:rsidDel="00000000" w:rsidR="00000000" w:rsidRPr="00000000">
        <w:rPr>
          <w:i w:val="1"/>
          <w:iCs w:val="1"/>
          <w:rtl w:val="0"/>
        </w:rPr>
        <w:t xml:space="preserve">Your Agent must validate that it never misses a high BP reading but also doesn’t annoy the heck out of the doctor trial investigator with falsely positive anomalies.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Toy Case B: The eTMF Uploader:</w:t>
      </w:r>
      <w:r w:rsidDel="00000000" w:rsidR="00000000" w:rsidRPr="00000000">
        <w:rPr>
          <w:rtl w:val="0"/>
        </w:rPr>
        <w:t xml:space="preserve"> A system that files medical licenses in a trial master file (TMF). </w:t>
      </w:r>
      <w:r w:rsidDel="00000000" w:rsidR="00000000" w:rsidRPr="00000000">
        <w:rPr>
          <w:i w:val="1"/>
          <w:iCs w:val="1"/>
          <w:rtl w:val="0"/>
        </w:rPr>
        <w:t xml:space="preserve">Your Agent must validate that it correctly identifies expired documents, but doesn’t misidentify valid documents as expired.</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Toy Case C: The CSR Data Mapper:</w:t>
      </w:r>
      <w:r w:rsidDel="00000000" w:rsidR="00000000" w:rsidRPr="00000000">
        <w:rPr>
          <w:rtl w:val="0"/>
        </w:rPr>
        <w:t xml:space="preserve"> A tool that pulls data from clinical trial statistical analysis tables into a report for regulatory submission. </w:t>
      </w:r>
      <w:r w:rsidDel="00000000" w:rsidR="00000000" w:rsidRPr="00000000">
        <w:rPr>
          <w:i w:val="1"/>
          <w:iCs w:val="1"/>
          <w:rtl w:val="0"/>
        </w:rPr>
        <w:t xml:space="preserve">Your Agent must validate the 1:1 mapping accuracy of every numeric output from statistics into those reports.</w:t>
      </w:r>
    </w:p>
    <w:p w:rsidR="00000000" w:rsidDel="00000000" w:rsidP="00000000" w:rsidRDefault="00000000" w:rsidRPr="00000000" w14:paraId="0000001B">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Super Case X: The AI enabled system: </w:t>
      </w:r>
      <w:r w:rsidDel="00000000" w:rsidR="00000000" w:rsidRPr="00000000">
        <w:rPr>
          <w:rtl w:val="0"/>
        </w:rPr>
        <w:t xml:space="preserve">A tool for clinical trials that uses generative AI or foundation models that is not so easy to specify requirements or specific unit tests. </w:t>
      </w:r>
      <w:r w:rsidDel="00000000" w:rsidR="00000000" w:rsidRPr="00000000">
        <w:rPr>
          <w:i w:val="1"/>
          <w:iCs w:val="1"/>
          <w:rtl w:val="0"/>
        </w:rPr>
        <w:t xml:space="preserve">Your agent must find a way to validate this AI-enabled system.</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yl3xg12fuvrc" w:id="7"/>
      <w:bookmarkEnd w:id="7"/>
      <w:r w:rsidDel="00000000" w:rsidR="00000000" w:rsidRPr="00000000">
        <w:rPr>
          <w:b w:val="1"/>
          <w:bCs w:val="1"/>
          <w:sz w:val="34"/>
          <w:szCs w:val="34"/>
          <w:rtl w:val="0"/>
        </w:rPr>
        <w:t xml:space="preserve">5. Key Regulatory &amp; Technical References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wgevze11uvnb" w:id="8"/>
      <w:bookmarkEnd w:id="8"/>
      <w:r w:rsidDel="00000000" w:rsidR="00000000" w:rsidRPr="00000000">
        <w:rPr>
          <w:b w:val="1"/>
          <w:bCs w:val="1"/>
          <w:color w:val="000000"/>
          <w:sz w:val="26"/>
          <w:szCs w:val="26"/>
          <w:rtl w:val="0"/>
        </w:rPr>
        <w:t xml:space="preserve">Official Regulatory Guidance (Full URLs)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FDA 21 CFR Part 11 (Electronic Records):</w:t>
      </w:r>
      <w:r w:rsidDel="00000000" w:rsidR="00000000" w:rsidRPr="00000000">
        <w:rPr>
          <w:rtl w:val="0"/>
        </w:rPr>
        <w:t xml:space="preserve"> https://www.ecfr.gov/current/title-21/chapter-I/subchapter-A/part-11</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EMA Annex 11 (Computerised Systems):</w:t>
      </w:r>
      <w:r w:rsidDel="00000000" w:rsidR="00000000" w:rsidRPr="00000000">
        <w:rPr>
          <w:rtl w:val="0"/>
        </w:rPr>
        <w:t xml:space="preserve"> https://health.ec.europa.eu/system/files/2016-11/annex11_0.pdf</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FDA CSA Final Guidance:</w:t>
      </w:r>
      <w:r w:rsidDel="00000000" w:rsidR="00000000" w:rsidRPr="00000000">
        <w:rPr>
          <w:rtl w:val="0"/>
        </w:rPr>
        <w:t xml:space="preserve"> https://www.fda.gov/regulatory-information/search-fda-guidance-documents/computer-software-assurance-production-and-quality-system-software</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FDA Guidance on Clinical Trials:</w:t>
      </w:r>
      <w:r w:rsidDel="00000000" w:rsidR="00000000" w:rsidRPr="00000000">
        <w:rPr>
          <w:rtl w:val="0"/>
        </w:rPr>
        <w:t xml:space="preserve"> https://www.fda.gov/regulatory-information/search-fda-guidance-documents/computerized-systems-used-clinical-investigations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2bg6unryoexl" w:id="9"/>
      <w:bookmarkEnd w:id="9"/>
      <w:r w:rsidDel="00000000" w:rsidR="00000000" w:rsidRPr="00000000">
        <w:rPr>
          <w:b w:val="1"/>
          <w:bCs w:val="1"/>
          <w:color w:val="000000"/>
          <w:sz w:val="26"/>
          <w:szCs w:val="26"/>
          <w:rtl w:val="0"/>
        </w:rPr>
        <w:t xml:space="preserve">Open-Source Frameworks &amp; Head Starts</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b w:val="1"/>
          <w:bCs w:val="1"/>
          <w:rtl w:val="0"/>
        </w:rPr>
        <w:t xml:space="preserve">Clinical Metadata:</w:t>
      </w:r>
      <w:r w:rsidDel="00000000" w:rsidR="00000000" w:rsidRPr="00000000">
        <w:rPr>
          <w:rtl w:val="0"/>
        </w:rPr>
        <w:t xml:space="preserve"> </w:t>
      </w:r>
      <w:r w:rsidDel="00000000" w:rsidR="00000000" w:rsidRPr="00000000">
        <w:rPr>
          <w:i w:val="1"/>
          <w:iCs w:val="1"/>
          <w:rtl w:val="0"/>
        </w:rPr>
        <w:t xml:space="preserve">OpenStudyBuilder</w:t>
      </w:r>
      <w:r w:rsidDel="00000000" w:rsidR="00000000" w:rsidRPr="00000000">
        <w:rPr>
          <w:rtl w:val="0"/>
        </w:rPr>
        <w:t xml:space="preserve"> — https://github.com/OpenStudyBuilder/OpenStudyBuilder</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Automated Evidence:</w:t>
      </w:r>
      <w:r w:rsidDel="00000000" w:rsidR="00000000" w:rsidRPr="00000000">
        <w:rPr>
          <w:rtl w:val="0"/>
        </w:rPr>
        <w:t xml:space="preserve"> </w:t>
      </w:r>
      <w:r w:rsidDel="00000000" w:rsidR="00000000" w:rsidRPr="00000000">
        <w:rPr>
          <w:i w:val="1"/>
          <w:iCs w:val="1"/>
          <w:rtl w:val="0"/>
        </w:rPr>
        <w:t xml:space="preserve">Playwright Trace Viewer</w:t>
      </w:r>
      <w:r w:rsidDel="00000000" w:rsidR="00000000" w:rsidRPr="00000000">
        <w:rPr>
          <w:rtl w:val="0"/>
        </w:rPr>
        <w:t xml:space="preserve"> — https://playwright.dev/docs/trace-viewer</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Mapping:</w:t>
      </w:r>
      <w:r w:rsidDel="00000000" w:rsidR="00000000" w:rsidRPr="00000000">
        <w:rPr>
          <w:rtl w:val="0"/>
        </w:rPr>
        <w:t xml:space="preserve"> </w:t>
      </w:r>
      <w:r w:rsidDel="00000000" w:rsidR="00000000" w:rsidRPr="00000000">
        <w:rPr>
          <w:i w:val="1"/>
          <w:iCs w:val="1"/>
          <w:rtl w:val="0"/>
        </w:rPr>
        <w:t xml:space="preserve">Cucumber (Gherkin)</w:t>
      </w:r>
      <w:r w:rsidDel="00000000" w:rsidR="00000000" w:rsidRPr="00000000">
        <w:rPr>
          <w:rtl w:val="0"/>
        </w:rPr>
        <w:t xml:space="preserve"> — https://cucumber.io/docs/gherkin/</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b w:val="1"/>
          <w:bCs w:val="1"/>
          <w:rtl w:val="0"/>
        </w:rPr>
        <w:t xml:space="preserve">Docs-as-Code:</w:t>
      </w:r>
      <w:r w:rsidDel="00000000" w:rsidR="00000000" w:rsidRPr="00000000">
        <w:rPr>
          <w:rtl w:val="0"/>
        </w:rPr>
        <w:t xml:space="preserve"> </w:t>
      </w:r>
      <w:r w:rsidDel="00000000" w:rsidR="00000000" w:rsidRPr="00000000">
        <w:rPr>
          <w:i w:val="1"/>
          <w:iCs w:val="1"/>
          <w:rtl w:val="0"/>
        </w:rPr>
        <w:t xml:space="preserve">Sphinx-Needs</w:t>
      </w:r>
      <w:r w:rsidDel="00000000" w:rsidR="00000000" w:rsidRPr="00000000">
        <w:rPr>
          <w:rtl w:val="0"/>
        </w:rPr>
        <w:t xml:space="preserve"> — https://sphinx-needs.readthedocs.io/</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k6cycq5ni4q5" w:id="10"/>
      <w:bookmarkEnd w:id="10"/>
      <w:r w:rsidDel="00000000" w:rsidR="00000000" w:rsidRPr="00000000">
        <w:rPr>
          <w:b w:val="1"/>
          <w:bCs w:val="1"/>
          <w:sz w:val="34"/>
          <w:szCs w:val="34"/>
          <w:rtl w:val="0"/>
        </w:rPr>
        <w:t xml:space="preserve">6. Winning Criteria: The Validation Package</w:t>
      </w:r>
    </w:p>
    <w:p w:rsidR="00000000" w:rsidDel="00000000" w:rsidP="00000000" w:rsidRDefault="00000000" w:rsidRPr="00000000" w14:paraId="00000028">
      <w:pPr>
        <w:spacing w:after="240" w:before="240" w:lineRule="auto"/>
        <w:rPr/>
      </w:pPr>
      <w:r w:rsidDel="00000000" w:rsidR="00000000" w:rsidRPr="00000000">
        <w:rPr>
          <w:rtl w:val="0"/>
        </w:rPr>
        <w:t xml:space="preserve">Your system should output a document PDF "Validation Package" containing:</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Traceability Matrix:</w:t>
      </w:r>
      <w:r w:rsidDel="00000000" w:rsidR="00000000" w:rsidRPr="00000000">
        <w:rPr>
          <w:rtl w:val="0"/>
        </w:rPr>
        <w:t xml:space="preserve"> Auto-mapping </w:t>
      </w:r>
      <w:r w:rsidDel="00000000" w:rsidR="00000000" w:rsidRPr="00000000">
        <w:rPr>
          <w:i w:val="1"/>
          <w:iCs w:val="1"/>
          <w:rtl w:val="0"/>
        </w:rPr>
        <w:t xml:space="preserve">Requirement ID</w:t>
      </w:r>
      <w:r w:rsidDel="00000000" w:rsidR="00000000" w:rsidRPr="00000000">
        <w:rPr>
          <w:rtl w:val="0"/>
        </w:rPr>
        <w:t xml:space="preserve"> \rightarrow </w:t>
      </w:r>
      <w:r w:rsidDel="00000000" w:rsidR="00000000" w:rsidRPr="00000000">
        <w:rPr>
          <w:i w:val="1"/>
          <w:iCs w:val="1"/>
          <w:rtl w:val="0"/>
        </w:rPr>
        <w:t xml:space="preserve">Code</w:t>
      </w:r>
      <w:r w:rsidDel="00000000" w:rsidR="00000000" w:rsidRPr="00000000">
        <w:rPr>
          <w:rtl w:val="0"/>
        </w:rPr>
        <w:t xml:space="preserve"> \rightarrow </w:t>
      </w:r>
      <w:r w:rsidDel="00000000" w:rsidR="00000000" w:rsidRPr="00000000">
        <w:rPr>
          <w:i w:val="1"/>
          <w:iCs w:val="1"/>
          <w:rtl w:val="0"/>
        </w:rPr>
        <w:t xml:space="preserve">Test Result</w:t>
      </w:r>
      <w:r w:rsidDel="00000000" w:rsidR="00000000" w:rsidRPr="00000000">
        <w:rPr>
          <w:rtl w:val="0"/>
        </w:rPr>
        <w:t xml:space="preserve">.</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Automated Evidence:</w:t>
      </w:r>
      <w:r w:rsidDel="00000000" w:rsidR="00000000" w:rsidRPr="00000000">
        <w:rPr>
          <w:rtl w:val="0"/>
        </w:rPr>
        <w:t xml:space="preserve"> Timestamps, logs, and proof of pass/fail.</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Risk Summary:</w:t>
      </w:r>
      <w:r w:rsidDel="00000000" w:rsidR="00000000" w:rsidRPr="00000000">
        <w:rPr>
          <w:rtl w:val="0"/>
        </w:rPr>
        <w:t xml:space="preserve"> AI-generated assessment of safety-critical features versus non-critical UI elements.</w:t>
      </w:r>
    </w:p>
    <w:p w:rsidR="00000000" w:rsidDel="00000000" w:rsidP="00000000" w:rsidRDefault="00000000" w:rsidRPr="00000000" w14:paraId="0000002C">
      <w:pPr>
        <w:numPr>
          <w:ilvl w:val="0"/>
          <w:numId w:val="4"/>
        </w:numPr>
        <w:spacing w:after="240" w:before="0" w:beforeAutospacing="0" w:lineRule="auto"/>
        <w:ind w:left="720" w:hanging="360"/>
        <w:rPr>
          <w:u w:val="none"/>
        </w:rPr>
      </w:pPr>
      <w:r w:rsidDel="00000000" w:rsidR="00000000" w:rsidRPr="00000000">
        <w:rPr>
          <w:rtl w:val="0"/>
        </w:rPr>
        <w:t xml:space="preserve">Anything else that you can find that industry tends to produce as evidence of validation</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