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heq2sj9gdtd" w:id="0"/>
      <w:bookmarkEnd w:id="0"/>
      <w:r w:rsidDel="00000000" w:rsidR="00000000" w:rsidRPr="00000000">
        <w:rPr>
          <w:rtl w:val="0"/>
        </w:rPr>
        <w:t xml:space="preserve">Starter Kit: Automated Software Validation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e49mgoitqkl" w:id="1"/>
      <w:bookmarkEnd w:id="1"/>
      <w:r w:rsidDel="00000000" w:rsidR="00000000" w:rsidRPr="00000000">
        <w:rPr>
          <w:rtl w:val="0"/>
        </w:rPr>
        <w:t xml:space="preserve">The Problem: 1990s Era Thinking in a 2026 World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Software has the unprecedented potential to eliminate the manual toil keeping us from curing serious diseases like cancer. But there's a massive roadblock: software validation in the pharmaceutical industry is still trapped in 1990s-era thinking. We are building 21st-century AI platforms but validating them with rigid, paper-based paradigms. This friction drastically slows down the deployment of life-saving clinical tools.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g4ljil1seera" w:id="2"/>
      <w:bookmarkEnd w:id="2"/>
      <w:r w:rsidDel="00000000" w:rsidR="00000000" w:rsidRPr="00000000">
        <w:rPr>
          <w:rtl w:val="0"/>
        </w:rPr>
        <w:t xml:space="preserve">The Objective: The Autonomous Validator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need a massively automated software validator that goes far beyond what human QA teams can accomplish. Your challenge is to build an agentic system that continuously validates, corrects, and even self-heals clinical software. It must provide extensive, unassailable traceability and audit trails out-of-the-box.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Keep it brilliantly simple. The ideal project could be encapsulated as a Claude skill.md file or an agentic Skill that securely plugs into a CI/CD pipeline, taking human drudgery entirely out of the compliance loop.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r33mmm2bjhel" w:id="3"/>
      <w:bookmarkEnd w:id="3"/>
      <w:r w:rsidDel="00000000" w:rsidR="00000000" w:rsidRPr="00000000">
        <w:rPr>
          <w:rtl w:val="0"/>
        </w:rPr>
        <w:t xml:space="preserve">Key Regulatory Resources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ensure your agent passes the strictest audits, ground its reasoning in these foundational industry frameworks: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ICH E6 (R3) Good Clinical Practice</w:t>
        </w:r>
      </w:hyperlink>
      <w:r w:rsidDel="00000000" w:rsidR="00000000" w:rsidRPr="00000000">
        <w:rPr>
          <w:rtl w:val="0"/>
        </w:rPr>
        <w:t xml:space="preserve">: Refer specifically to the Draft Guideline, including Annex 1 and Annex 2, which detail requirements for computerized systems, software validation, and qualification.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ISPE GAMP 5 (Second Edition)</w:t>
        </w:r>
      </w:hyperlink>
      <w:r w:rsidDel="00000000" w:rsidR="00000000" w:rsidRPr="00000000">
        <w:rPr>
          <w:rtl w:val="0"/>
        </w:rPr>
        <w:t xml:space="preserve">: The definitive standard for Good Automated Manufacturing Practice, outlining risk-based approaches to compliant GxP computerized systems.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rd5e06484gnk" w:id="4"/>
      <w:bookmarkEnd w:id="4"/>
      <w:r w:rsidDel="00000000" w:rsidR="00000000" w:rsidRPr="00000000">
        <w:rPr>
          <w:rtl w:val="0"/>
        </w:rPr>
        <w:t xml:space="preserve">Agentic Automation Clues &amp; Hacks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skill.md Approach:</w:t>
      </w:r>
      <w:r w:rsidDel="00000000" w:rsidR="00000000" w:rsidRPr="00000000">
        <w:rPr>
          <w:rtl w:val="0"/>
        </w:rPr>
        <w:t xml:space="preserve"> Define your validator as a skill.md. Have the agent read a natural language software requirement, write the corresponding test script, execute it, and instantly log the result in an immutable traceability matrix.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Self-Healing:</w:t>
      </w:r>
      <w:r w:rsidDel="00000000" w:rsidR="00000000" w:rsidRPr="00000000">
        <w:rPr>
          <w:rtl w:val="0"/>
        </w:rPr>
        <w:t xml:space="preserve"> Don't just flag a failed test. Instruct the agent to analyze the error logs, propose a code fix, run the test again, and document the resolution automatically.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 Generation:</w:t>
      </w:r>
      <w:r w:rsidDel="00000000" w:rsidR="00000000" w:rsidRPr="00000000">
        <w:rPr>
          <w:rtl w:val="0"/>
        </w:rPr>
        <w:t xml:space="preserve"> The hardest part of compliance is proving you did it. Your agent should automatically generate an FDA-ready audit log showing exactly what was tested, when, and by which algorithmic reasoning step.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Lexend" w:cs="Lexend" w:eastAsia="Lexend" w:hAnsi="Lexend"/>
      <w:b w:val="1"/>
      <w:bCs w:val="1"/>
      <w:i w:val="0"/>
      <w:iCs w:val="0"/>
      <w:color w:val="1e293b"/>
      <w:sz w:val="35.4"/>
      <w:szCs w:val="35.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Lexend" w:cs="Lexend" w:eastAsia="Lexend" w:hAnsi="Lexend"/>
      <w:b w:val="1"/>
      <w:bCs w:val="1"/>
      <w:i w:val="0"/>
      <w:iCs w:val="0"/>
      <w:color w:val="334155"/>
      <w:sz w:val="33.2"/>
      <w:szCs w:val="33.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Lexend" w:cs="Lexend" w:eastAsia="Lexend" w:hAnsi="Lexend"/>
      <w:b w:val="1"/>
      <w:bCs w:val="1"/>
      <w:i w:val="0"/>
      <w:iCs w:val="0"/>
      <w:color w:val="475569"/>
      <w:sz w:val="31.2"/>
      <w:szCs w:val="31.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ch.org/page/efficacy-guidelines" TargetMode="External"/><Relationship Id="rId7" Type="http://schemas.openxmlformats.org/officeDocument/2006/relationships/hyperlink" Target="https://ispe.org/publications/guidance-documents/gamp-5-guide-2nd-edi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