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Guion de la exposición — Entrega 3 (equipo ACC)</w:t>
      </w:r>
    </w:p>
    <w:p>
      <w:pPr>
        <w:spacing w:after="160"/>
      </w:pPr>
      <w:r>
        <w:rPr>
          <w:b/>
          <w:bCs/>
          <w:i w:val="false"/>
          <w:iCs w:val="false"/>
        </w:rPr>
        <w:t xml:space="preserve">Duración total: ~20 minutos · 18 diapositivas · ~1 min/diapositiva en promedio (la diapositiva 13, demo, puede tomar 2-3 min si se hace en vivo).</w:t>
      </w:r>
    </w:p>
    <w:p>
      <w:pPr>
        <w:spacing w:after="160"/>
      </w:pPr>
      <w:r>
        <w:rPr>
          <w:b w:val="false"/>
          <w:bCs w:val="false"/>
          <w:i w:val="false"/>
          <w:iCs w:val="false"/>
        </w:rPr>
        <w:t xml:space="preserve">Este guion es para que cada quien prepare lo que va a decir, NO para leer en pantalla. La diapositiva muestra solo el ancla (título + palabras clave); lo que sigue es lo que se dice en voz alta al llegar a esa diapositiva. Practiquen su parte en voz alta al menos una vez antes de la defensa.</w:t>
      </w:r>
    </w:p>
    <w:p>
      <w:pPr>
        <w:pStyle w:val="Heading1"/>
        <w:spacing w:after="150" w:before="300"/>
      </w:pPr>
      <w:r>
        <w:t xml:space="preserve">Diapositiva 1 — Portada</w:t>
      </w:r>
    </w:p>
    <w:p>
      <w:pPr>
        <w:spacing w:after="160"/>
      </w:pPr>
      <w:r>
        <w:rPr>
          <w:b w:val="false"/>
          <w:bCs w:val="false"/>
          <w:i/>
          <w:iCs/>
        </w:rPr>
        <w:t xml:space="preserve">(nadie habla del guion; el primero se presenta brevemente)</w:t>
      </w:r>
    </w:p>
    <w:p>
      <w:pPr>
        <w:spacing w:after="220"/>
        <w:ind w:left="400"/>
      </w:pPr>
      <w:r>
        <w:rPr>
          <w:i/>
          <w:iCs/>
        </w:rPr>
        <w:t xml:space="preserve">"Buenas tardes, somos el equipo ACC. Hoy les presentamos la Entrega 3 del Sistema de Soporte Técnico ISP: la capa de datos distribuida y el pipeline analítico paralelo. Vamos a repartirnos la exposición: yo soy Carlos y abro con el objetivo de hoy."</w:t>
      </w:r>
    </w:p>
    <w:p>
      <w:pPr>
        <w:pStyle w:val="Heading1"/>
        <w:spacing w:after="150" w:before="300"/>
      </w:pPr>
      <w:r>
        <w:t xml:space="preserve">Diapositiva 2 — Objetivo de hoy y hoja de ruta</w:t>
      </w:r>
    </w:p>
    <w:p>
      <w:pPr>
        <w:spacing w:after="160"/>
      </w:pPr>
      <w:r>
        <w:rPr>
          <w:b/>
          <w:bCs/>
          <w:i w:val="false"/>
          <w:iCs w:val="false"/>
        </w:rPr>
        <w:t xml:space="preserve">Expone: Carlos Carpio</w:t>
      </w:r>
    </w:p>
    <w:p>
      <w:pPr>
        <w:spacing w:after="220"/>
        <w:ind w:left="400"/>
      </w:pPr>
      <w:r>
        <w:rPr>
          <w:i/>
          <w:iCs/>
        </w:rPr>
        <w:t xml:space="preserve">"El objetivo de esta entrega fue tomar la arquitectura de microservicios que construimos en la Entrega 2 y completarla con dos piezas que le faltaban a un sistema verdaderamente distribuido: una capa de datos real, fragmentada y replicada, y un pipeline de procesamiento paralelo que demuestre speedup medible.</w:t>
      </w:r>
    </w:p>
    <w:p>
      <w:pPr>
        <w:spacing w:after="220"/>
        <w:ind w:left="400"/>
      </w:pPr>
      <w:r>
        <w:rPr>
          <w:i/>
          <w:iCs/>
        </w:rPr>
        <w:t xml:space="preserve">Vamos a recorrer cinco cosas: primero la arquitectura y qué cambió; después las decisiones técnicas detrás del diseño; luego la evidencia real de que todo esto funciona —no solo que lo escribimos, sino que lo probamos—; en el minuto 12 aproximadamente vamos a hacer una demo en vivo creando un ticket real; y cerramos con los riesgos que quedan y hacia dónde va esto en la Entrega 4."</w:t>
      </w:r>
    </w:p>
    <w:p>
      <w:pPr>
        <w:pStyle w:val="Heading1"/>
        <w:spacing w:after="150" w:before="300"/>
      </w:pPr>
      <w:r>
        <w:t xml:space="preserve">Diapositiva 3 — El problema: soporte técnico de un ISP</w:t>
      </w:r>
    </w:p>
    <w:p>
      <w:pPr>
        <w:spacing w:after="160"/>
      </w:pPr>
      <w:r>
        <w:rPr>
          <w:b/>
          <w:bCs/>
          <w:i w:val="false"/>
          <w:iCs w:val="false"/>
        </w:rPr>
        <w:t xml:space="preserve">Expone: Cristhian Pacheco</w:t>
      </w:r>
    </w:p>
    <w:p>
      <w:pPr>
        <w:spacing w:after="220"/>
        <w:ind w:left="400"/>
      </w:pPr>
      <w:r>
        <w:rPr>
          <w:i/>
          <w:iCs/>
        </w:rPr>
        <w:t xml:space="preserve">"Para quien no vio nuestras entregas anteriores, un recordatorio rápido del dominio: somos un sistema de soporte técnico para un proveedor de Internet. Tres tipos de usuario: el cliente que reporta una falla, el técnico que la resuelve en su zona, y el administrador que supervisa todo.</w:t>
      </w:r>
    </w:p>
    <w:p>
      <w:pPr>
        <w:spacing w:after="220"/>
        <w:ind w:left="400"/>
      </w:pPr>
      <w:r>
        <w:rPr>
          <w:i/>
          <w:iCs/>
        </w:rPr>
        <w:t xml:space="preserve">Tres requisitos no funcionales nos han perseguido desde la Entrega 1 y son los que esta entrega pone a prueba de verdad: cumplir el SLA de resolución según la prioridad del ticket, mantener consistencia cuando dos personas actualizan el mismo ticket al mismo tiempo —piensen en un técnico cerrándolo mientras un administrador lo reasigna—, y poder escalar a un histórico de más de 500 mil incidencias sin que el sistema se arrodille."</w:t>
      </w:r>
    </w:p>
    <w:p>
      <w:pPr>
        <w:pStyle w:val="Heading1"/>
        <w:spacing w:after="150" w:before="300"/>
      </w:pPr>
      <w:r>
        <w:t xml:space="preserve">Diapositiva 4 — Arquitectura de contenedores (C4 Nivel 2)</w:t>
      </w:r>
    </w:p>
    <w:p>
      <w:pPr>
        <w:spacing w:after="160"/>
      </w:pPr>
      <w:r>
        <w:rPr>
          <w:b/>
          <w:bCs/>
          <w:i w:val="false"/>
          <w:iCs w:val="false"/>
        </w:rPr>
        <w:t xml:space="preserve">Expone: Jeremy Álvarez</w:t>
      </w:r>
    </w:p>
    <w:p>
      <w:pPr>
        <w:spacing w:after="220"/>
        <w:ind w:left="400"/>
      </w:pPr>
      <w:r>
        <w:rPr>
          <w:i/>
          <w:iCs/>
        </w:rPr>
        <w:t xml:space="preserve">"Este es el diagrama de contenedores actualizado. Los cinco microservicios de la Entrega 2 siguen igual, sin cambios de contrato: auth-service, ticket-service, notification-service, ai-service y report-service. Lo que cambia está marcado en color.</w:t>
      </w:r>
    </w:p>
    <w:p>
      <w:pPr>
        <w:spacing w:after="220"/>
        <w:ind w:left="400"/>
      </w:pPr>
      <w:r>
        <w:rPr>
          <w:i/>
          <w:iCs/>
        </w:rPr>
        <w:t xml:space="preserve">En ámbar, CockroachDB: pasó de un esquema pensado para un solo nodo a un clúster real de tres nodos con la tabla de tickets fragmentada. En verde azulado, algo completamente nuevo: el pipeline de Spark, que se conecta a CockroachDB por JDBC y hace el análisis paralelo que van a ver más adelante."</w:t>
      </w:r>
    </w:p>
    <w:p>
      <w:pPr>
        <w:pStyle w:val="Heading1"/>
        <w:spacing w:after="150" w:before="300"/>
      </w:pPr>
      <w:r>
        <w:t xml:space="preserve">Diapositiva 5 — Qué cambió respecto a E2</w:t>
      </w:r>
    </w:p>
    <w:p>
      <w:pPr>
        <w:spacing w:after="160"/>
      </w:pPr>
      <w:r>
        <w:rPr>
          <w:b/>
          <w:bCs/>
          <w:i w:val="false"/>
          <w:iCs w:val="false"/>
        </w:rPr>
        <w:t xml:space="preserve">Expone: Jeremy Álvarez</w:t>
      </w:r>
    </w:p>
    <w:p>
      <w:pPr>
        <w:spacing w:after="220"/>
        <w:ind w:left="400"/>
      </w:pPr>
      <w:r>
        <w:rPr>
          <w:i/>
          <w:iCs/>
        </w:rPr>
        <w:t xml:space="preserve">"Puntualizando los cinco cambios concretos de esta entrega: la tabla tickets ahora se fragmenta por fecha de apertura, no por zona geográfica como en la Entrega 2 —en un momento Cristhian explica por qué—. El clúster de CockroachDB es real, tres nodos con replicación, no una base mono-nodo. Agregamos tres métricas de Prometheus nuevas al ticket-service. Agregamos pruebas de integración con Testcontainers, que levantan un CockroachDB real solo para probar, no un mock. Y agregamos el pipeline de Spark como componente completamente nuevo."</w:t>
      </w:r>
    </w:p>
    <w:p>
      <w:pPr>
        <w:pStyle w:val="Heading1"/>
        <w:spacing w:after="150" w:before="300"/>
      </w:pPr>
      <w:r>
        <w:t xml:space="preserve">Diapositiva 6 — Lo planificado vs. lo construido</w:t>
      </w:r>
    </w:p>
    <w:p>
      <w:pPr>
        <w:spacing w:after="160"/>
      </w:pPr>
      <w:r>
        <w:rPr>
          <w:b/>
          <w:bCs/>
          <w:i w:val="false"/>
          <w:iCs w:val="false"/>
        </w:rPr>
        <w:t xml:space="preserve">Expone: Robinson Cando</w:t>
      </w:r>
    </w:p>
    <w:p>
      <w:pPr>
        <w:spacing w:after="220"/>
        <w:ind w:left="400"/>
      </w:pPr>
      <w:r>
        <w:rPr>
          <w:i/>
          <w:iCs/>
        </w:rPr>
        <w:t xml:space="preserve">"Siendo honestos con el estado real: tres cosas están completamente hechas y verificadas —la fragmentación con su ADR, las pruebas de integración con las tres métricas de Prometheus sin ninguna advertencia, y el pipeline de Spark corriendo sobre seiscientas mil filas reales.</w:t>
      </w:r>
    </w:p>
    <w:p>
      <w:pPr>
        <w:spacing w:after="220"/>
        <w:ind w:left="400"/>
      </w:pPr>
      <w:r>
        <w:rPr>
          <w:i/>
          <w:iCs/>
        </w:rPr>
        <w:t xml:space="preserve">Dos cosas siguen pendientes y lo decimos sin rodeos: el video de tolerancia a fallos con uno y dos nodos caídos, y el protocolo estadístico completo de cincuenta corridas con intervalo de confianza del 95%. Ambos están diseñados e implementados, solo falta ejecutarlos —lo explicamos más en la diapositiva de riesgos."</w:t>
      </w:r>
    </w:p>
    <w:p>
      <w:pPr>
        <w:pStyle w:val="Heading1"/>
        <w:spacing w:after="150" w:before="300"/>
      </w:pPr>
      <w:r>
        <w:t xml:space="preserve">Diapositiva 7 — Decisión: fragmentación por fecha_apertura</w:t>
      </w:r>
    </w:p>
    <w:p>
      <w:pPr>
        <w:spacing w:after="160"/>
      </w:pPr>
      <w:r>
        <w:rPr>
          <w:b/>
          <w:bCs/>
          <w:i w:val="false"/>
          <w:iCs w:val="false"/>
        </w:rPr>
        <w:t xml:space="preserve">Expone: Cristhian Pacheco</w:t>
      </w:r>
    </w:p>
    <w:p>
      <w:pPr>
        <w:spacing w:after="220"/>
        <w:ind w:left="400"/>
      </w:pPr>
      <w:r>
        <w:rPr>
          <w:i/>
          <w:iCs/>
        </w:rPr>
        <w:t xml:space="preserve">"Aquí está el fragmento real del esquema. La tabla tickets tiene una clave primaria compuesta, fecha de creación más id, y se particiona por rango de esa fecha en cuatro particiones trimestrales para este año.</w:t>
      </w:r>
    </w:p>
    <w:p>
      <w:pPr>
        <w:spacing w:after="220"/>
        <w:ind w:left="400"/>
      </w:pPr>
      <w:r>
        <w:rPr>
          <w:i/>
          <w:iCs/>
        </w:rPr>
        <w:t xml:space="preserve">La alternativa que descartamos fue particionar por zona geográfica, que de hecho era nuestro diseño original en la Entrega 2. El criterio de la decisión no fue una preferencia nuestra: la guía oficial de la Entrega 3 exige explícitamente esta estrategia para nuestro equipo. Lo documentamos en un ADR, con la referencia bibliográfica de Özsu y Valduriez que define las tres condiciones que toda fragmentación correcta debe cumplir: completitud, reconstrucción y disyunción. Las tres las verificamos formalmente, están en el documento LaTeX."</w:t>
      </w:r>
    </w:p>
    <w:p>
      <w:pPr>
        <w:pStyle w:val="Heading1"/>
        <w:spacing w:after="150" w:before="300"/>
      </w:pPr>
      <w:r>
        <w:t xml:space="preserve">Diapositiva 8 — Ubicación CAP / PACELC del sistema</w:t>
      </w:r>
    </w:p>
    <w:p>
      <w:pPr>
        <w:spacing w:after="160"/>
      </w:pPr>
      <w:r>
        <w:rPr>
          <w:b/>
          <w:bCs/>
          <w:i w:val="false"/>
          <w:iCs w:val="false"/>
        </w:rPr>
        <w:t xml:space="preserve">Expone: Cristhian Pacheco</w:t>
      </w:r>
    </w:p>
    <w:p>
      <w:pPr>
        <w:spacing w:after="220"/>
        <w:ind w:left="400"/>
      </w:pPr>
      <w:r>
        <w:rPr>
          <w:i/>
          <w:iCs/>
        </w:rPr>
        <w:t xml:space="preserve">"Con este cambio, ¿dónde queda nuestro sistema en el espacio CAP? CockroachDB es explícitamente un sistema CP: prioriza consistencia sobre disponibilidad cuando hay una partición de red. Esto no es teoría abstracta para nosotros, lo vimos en vivo: cuando forzamos dos transacciones concurrentes sobre el mismo ticket, el clúster no dejó pasar las dos silenciosamente, rechazó una con un error de conflicto real, código SQLSTATE 40001.</w:t>
      </w:r>
    </w:p>
    <w:p>
      <w:pPr>
        <w:spacing w:after="220"/>
        <w:ind w:left="400"/>
      </w:pPr>
      <w:r>
        <w:rPr>
          <w:i/>
          <w:iCs/>
        </w:rPr>
        <w:t xml:space="preserve">Esto es posible gracias al algoritmo de consenso Raft: cada rango de datos tiene su propio grupo Raft, y con nuestro factor de replicación de tres, el quórum de escritura es de dos. Eso significa que toleramos la caída de un nodo sin perder disponibilidad de escritura, pero no la de dos al mismo tiempo."</w:t>
      </w:r>
    </w:p>
    <w:p>
      <w:pPr>
        <w:pStyle w:val="Heading1"/>
        <w:spacing w:after="150" w:before="300"/>
      </w:pPr>
      <w:r>
        <w:t xml:space="preserve">Diapositiva 9 — Artefactos verificables en el repositorio</w:t>
      </w:r>
    </w:p>
    <w:p>
      <w:pPr>
        <w:spacing w:after="160"/>
      </w:pPr>
      <w:r>
        <w:rPr>
          <w:b/>
          <w:bCs/>
          <w:i w:val="false"/>
          <w:iCs w:val="false"/>
        </w:rPr>
        <w:t xml:space="preserve">Expone: Carlos Carpio</w:t>
      </w:r>
    </w:p>
    <w:p>
      <w:pPr>
        <w:spacing w:after="220"/>
        <w:ind w:left="400"/>
      </w:pPr>
      <w:r>
        <w:rPr>
          <w:i/>
          <w:iCs/>
        </w:rPr>
        <w:t xml:space="preserve">"Todo lo que estamos diciendo está en el repositorio, no son afirmaciones sueltas. La carpeta db-cluster tiene los tres nodos, el esquema y el ADR. El servicio principal tiene el refactor completo más las pruebas con Testcontainers. La carpeta spark tiene el pipeline, el baseline en pandas y el protocolo experimental sobre seiscientas mil filas. Y en tests/integration están las dos pruebas que corren contra un CockroachDB real, no simulado."</w:t>
      </w:r>
    </w:p>
    <w:p>
      <w:pPr>
        <w:pStyle w:val="Heading1"/>
        <w:spacing w:after="150" w:before="300"/>
      </w:pPr>
      <w:r>
        <w:t xml:space="preserve">Diapositiva 9b — Evidencia en vivo: métricas Prometheus reales</w:t>
      </w:r>
    </w:p>
    <w:p>
      <w:pPr>
        <w:spacing w:after="160"/>
      </w:pPr>
      <w:r>
        <w:rPr>
          <w:b/>
          <w:bCs/>
          <w:i w:val="false"/>
          <w:iCs w:val="false"/>
        </w:rPr>
        <w:t xml:space="preserve">Expone: Robinson Cando</w:t>
      </w:r>
    </w:p>
    <w:p>
      <w:pPr>
        <w:spacing w:after="220"/>
        <w:ind w:left="400"/>
      </w:pPr>
      <w:r>
        <w:rPr>
          <w:i/>
          <w:iCs/>
        </w:rPr>
        <w:t xml:space="preserve">"Esto es una captura real, no un mockup: la salida cruda del endpoint de métricas del ticket-service ahora mismo. Ahí están las dos métricas activas —conexiones del pool y reintentos de transacción—, con su nombre, su tipo y su descripción bien declarados.</w:t>
      </w:r>
    </w:p>
    <w:p>
      <w:pPr>
        <w:spacing w:after="220"/>
        <w:ind w:left="400"/>
      </w:pPr>
      <w:r>
        <w:rPr>
          <w:i/>
          <w:iCs/>
        </w:rPr>
        <w:t xml:space="preserve">Y esta última línea es clave: corrimos el validador oficial de Prometheus, promtool, sobre esta misma salida, y devolvió cero advertencias. No es que digamos que las métricas están bien hechas, lo comprobamos con la herramienta que usa la industria."</w:t>
      </w:r>
    </w:p>
    <w:p>
      <w:pPr>
        <w:pStyle w:val="Heading1"/>
        <w:spacing w:after="150" w:before="300"/>
      </w:pPr>
      <w:r>
        <w:t xml:space="preserve">Diapositiva 10 — Verificación de corrección (medida, no supuesta)</w:t>
      </w:r>
    </w:p>
    <w:p>
      <w:pPr>
        <w:spacing w:after="160"/>
      </w:pPr>
      <w:r>
        <w:rPr>
          <w:b/>
          <w:bCs/>
          <w:i w:val="false"/>
          <w:iCs w:val="false"/>
        </w:rPr>
        <w:t xml:space="preserve">Expone: Robinson Cando</w:t>
      </w:r>
    </w:p>
    <w:p>
      <w:pPr>
        <w:spacing w:after="220"/>
        <w:ind w:left="400"/>
      </w:pPr>
      <w:r>
        <w:rPr>
          <w:i/>
          <w:iCs/>
        </w:rPr>
        <w:t xml:space="preserve">"Resumiendo la verificación de corrección del clúster en tres puntos, todos medidos: el aislamiento serializable lo comprobamos forzando un conflicto real entre dos transacciones concurrentes, no lo asumimos. Las tres métricas de Prometheus pasan el validador sin advertencias. Y las dos pruebas de integración con Testcontainers pasan en verde contra una instancia real de CockroachDB, cada vez que corre la suite de pruebas."</w:t>
      </w:r>
    </w:p>
    <w:p>
      <w:pPr>
        <w:pStyle w:val="Heading1"/>
        <w:spacing w:after="150" w:before="300"/>
      </w:pPr>
      <w:r>
        <w:t xml:space="preserve">Diapositiva 11 — Pipeline Spark sobre 600.000 incidencias</w:t>
      </w:r>
    </w:p>
    <w:p>
      <w:pPr>
        <w:spacing w:after="160"/>
      </w:pPr>
      <w:r>
        <w:rPr>
          <w:b/>
          <w:bCs/>
          <w:i w:val="false"/>
          <w:iCs w:val="false"/>
        </w:rPr>
        <w:t xml:space="preserve">Expone: Cristhian Pacheco</w:t>
      </w:r>
    </w:p>
    <w:p>
      <w:pPr>
        <w:spacing w:after="220"/>
        <w:ind w:left="400"/>
      </w:pPr>
      <w:r>
        <w:rPr>
          <w:i/>
          <w:iCs/>
        </w:rPr>
        <w:t xml:space="preserve">"Este pipeline aplica las cinco transformaciones exigidas —filtrado, join, ventana, tipos temporales y una etapa de machine learning— sobre un dataset sintético de seiscientas mil incidencias, con semilla fija para que sea reproducible.</w:t>
      </w:r>
    </w:p>
    <w:p>
      <w:pPr>
        <w:spacing w:after="220"/>
        <w:ind w:left="400"/>
      </w:pPr>
      <w:r>
        <w:rPr>
          <w:i/>
          <w:iCs/>
        </w:rPr>
        <w:t xml:space="preserve">A la izquierda ven el embudo: de seiscientas mil filas totales, quinientas cincuenta y siete mil setecientas uno quedan después del filtrado, y de esas, un sesenta y ocho punto tres por ciento —trescientas ochenta mil setecientas cincuenta y tres— se marcan como reincidentes dentro de treinta días. A la derecha, el resultado del clustering por texto y zona con K-means: cinco grupos, ninguno trivial, uno dominante y cuatro más específicos. Esto no es una ejecución de prueba, es la salida real del notebook, ejecutado de punta a punta."</w:t>
      </w:r>
    </w:p>
    <w:p>
      <w:pPr>
        <w:pStyle w:val="Heading1"/>
        <w:spacing w:after="150" w:before="300"/>
      </w:pPr>
      <w:r>
        <w:t xml:space="preserve">Diapositiva 12 — Demo: crear ticket → Kafka → notificación</w:t>
      </w:r>
    </w:p>
    <w:p>
      <w:pPr>
        <w:spacing w:after="160"/>
      </w:pPr>
      <w:r>
        <w:rPr>
          <w:b/>
          <w:bCs/>
          <w:i w:val="false"/>
          <w:iCs w:val="false"/>
        </w:rPr>
        <w:t xml:space="preserve">Expone: Carlos Carpio</w:t>
      </w:r>
    </w:p>
    <w:p>
      <w:pPr>
        <w:spacing w:after="220"/>
        <w:ind w:left="400"/>
      </w:pPr>
      <w:r>
        <w:rPr>
          <w:i/>
          <w:iCs/>
        </w:rPr>
        <w:t xml:space="preserve">"Ahora sí, vamos a hacerlo en vivo. Voy a crear un ticket real como si fuera un cliente autenticado. Cuando lo envíe, el ticket-service lo va a guardar en CockroachDB y va a publicar un evento en Kafka. El notification-service, que corre de forma completamente independiente, va a consumir ese evento sin que nadie se lo pida y va a generar una notificación. Si todo sale bien, en menos de dos segundos deberíamos poder consultar esa notificación ya guardada."</w:t>
      </w:r>
    </w:p>
    <w:p>
      <w:pPr>
        <w:spacing w:after="160"/>
      </w:pPr>
      <w:r>
        <w:rPr>
          <w:b w:val="false"/>
          <w:bCs w:val="false"/>
          <w:i/>
          <w:iCs/>
        </w:rPr>
        <w:t xml:space="preserve">(aquí se ejecuta la demo real: POST a /api/v1/tickets, y luego GET a /api/v1/notifications?ticketId=... para mostrar la notificación generada)</w:t>
      </w:r>
    </w:p>
    <w:p>
      <w:pPr>
        <w:pStyle w:val="Heading1"/>
        <w:spacing w:after="150" w:before="300"/>
      </w:pPr>
      <w:r>
        <w:t xml:space="preserve">Diapositiva 13 — Resultado observado (respaldo de contingencia)</w:t>
      </w:r>
    </w:p>
    <w:p>
      <w:pPr>
        <w:spacing w:after="160"/>
      </w:pPr>
      <w:r>
        <w:rPr>
          <w:b/>
          <w:bCs/>
          <w:i w:val="false"/>
          <w:iCs w:val="false"/>
        </w:rPr>
        <w:t xml:space="preserve">Expone: Carlos Carpio</w:t>
      </w:r>
    </w:p>
    <w:p>
      <w:pPr>
        <w:spacing w:after="220"/>
        <w:ind w:left="400"/>
      </w:pPr>
      <w:r>
        <w:rPr>
          <w:i/>
          <w:iCs/>
        </w:rPr>
        <w:t xml:space="preserve">"Por si algo falla en el aula —proyector, red, lo que sea—, esta es la captura real de la misma demo que acabamos de correr hace unos días, con el mismo flujo exacto: el POST devuelve 201 con el ticket creado, y la consulta a notification-service devuelve la notificación ya generada, canal email, con el mensaje automático. El id del ticket coincide entre ambas llamadas, así que es evidencia de que el flujo asíncrono completo funciona de extremo a extremo, no una simulación."</w:t>
      </w:r>
    </w:p>
    <w:p>
      <w:pPr>
        <w:pStyle w:val="Heading1"/>
        <w:spacing w:after="150" w:before="300"/>
      </w:pPr>
      <w:r>
        <w:t xml:space="preserve">Diapositiva 14 — Riesgos, deuda técnica y plan hacia E4</w:t>
      </w:r>
    </w:p>
    <w:p>
      <w:pPr>
        <w:spacing w:after="160"/>
      </w:pPr>
      <w:r>
        <w:rPr>
          <w:b/>
          <w:bCs/>
          <w:i w:val="false"/>
          <w:iCs w:val="false"/>
        </w:rPr>
        <w:t xml:space="preserve">Expone: Robinson Cando</w:t>
      </w:r>
    </w:p>
    <w:p>
      <w:pPr>
        <w:spacing w:after="220"/>
        <w:ind w:left="400"/>
      </w:pPr>
      <w:r>
        <w:rPr>
          <w:i/>
          <w:iCs/>
        </w:rPr>
        <w:t xml:space="preserve">"Siendo transparentes sobre lo que queda por resolver. El riesgo más concreto: como ahora fragmentamos por fecha y no por zona, una consulta filtrada solo por zona tiene que cruzar las cuatro particiones. Lo mitigamos con un índice secundario sobre zona, y está medido en el documento.</w:t>
      </w:r>
    </w:p>
    <w:p>
      <w:pPr>
        <w:spacing w:after="220"/>
        <w:ind w:left="400"/>
      </w:pPr>
      <w:r>
        <w:rPr>
          <w:i/>
          <w:iCs/>
        </w:rPr>
        <w:t xml:space="preserve">Como deuda técnica, no tenemos todavía un API Gateway único al frente de los cinco microservicios; queda planificado para la Entrega 4. Y lo que ya mencionamos: el video de tolerancia a fallos y el protocolo estadístico completo siguen pendientes de ejecución.</w:t>
      </w:r>
    </w:p>
    <w:p>
      <w:pPr>
        <w:spacing w:after="220"/>
        <w:ind w:left="400"/>
      </w:pPr>
      <w:r>
        <w:rPr>
          <w:i/>
          <w:iCs/>
        </w:rPr>
        <w:t xml:space="preserve">Lo bueno: el clúster, las tres métricas y el pipeline de Spark quedan listos para que la Entrega 4 los use directamente, sin tener que rehacer nada."</w:t>
      </w:r>
    </w:p>
    <w:p>
      <w:pPr>
        <w:pStyle w:val="Heading1"/>
        <w:spacing w:after="150" w:before="300"/>
      </w:pPr>
      <w:r>
        <w:t xml:space="preserve">Diapositiva 15 — Conclusiones del equipo</w:t>
      </w:r>
    </w:p>
    <w:p>
      <w:pPr>
        <w:spacing w:after="160"/>
      </w:pPr>
      <w:r>
        <w:rPr>
          <w:b/>
          <w:bCs/>
          <w:i w:val="false"/>
          <w:iCs w:val="false"/>
        </w:rPr>
        <w:t xml:space="preserve">Expone: Jeremy Álvarez</w:t>
      </w:r>
    </w:p>
    <w:p>
      <w:pPr>
        <w:spacing w:after="220"/>
        <w:ind w:left="400"/>
      </w:pPr>
      <w:r>
        <w:rPr>
          <w:i/>
          <w:iCs/>
        </w:rPr>
        <w:t xml:space="preserve">"Tres conclusiones que nos deja este trabajo, no un resumen de lo que ya dijimos. Primera: la fragmentación que exige la guía no siempre coincide con el patrón de acceso real del dominio, y aprendimos que documentar ese costo explícitamente vale más que forzar un diseño que finja que no existe el trade-off.</w:t>
      </w:r>
    </w:p>
    <w:p>
      <w:pPr>
        <w:spacing w:after="220"/>
        <w:ind w:left="400"/>
      </w:pPr>
      <w:r>
        <w:rPr>
          <w:i/>
          <w:iCs/>
        </w:rPr>
        <w:t xml:space="preserve">Segunda: verificar empíricamente con Testcontainers y con promtool no fue un trámite de la rúbrica, nos hizo encontrar un problema real de memoria en el clúster antes de que llegara a producción.</w:t>
      </w:r>
    </w:p>
    <w:p>
      <w:pPr>
        <w:spacing w:after="220"/>
        <w:ind w:left="400"/>
      </w:pPr>
      <w:r>
        <w:rPr>
          <w:i/>
          <w:iCs/>
        </w:rPr>
        <w:t xml:space="preserve">Tercera: diseñar el pipeline de Spark para un objetivo propio de nuestro dominio —reincidencia y agrupamiento de incidencias— dio resultados mucho más interpretables que aplicar cinco transformaciones genéricas sin relación con el negocio."</w:t>
      </w:r>
    </w:p>
    <w:p>
      <w:pPr>
        <w:pStyle w:val="Heading1"/>
        <w:spacing w:after="150" w:before="300"/>
      </w:pPr>
      <w:r>
        <w:t xml:space="preserve">Diapositiva 16 — Declaración de uso de IA generativa</w:t>
      </w:r>
    </w:p>
    <w:p>
      <w:pPr>
        <w:spacing w:after="160"/>
      </w:pPr>
      <w:r>
        <w:rPr>
          <w:b w:val="false"/>
          <w:bCs w:val="false"/>
          <w:i/>
          <w:iCs/>
        </w:rPr>
        <w:t xml:space="preserve">(quien se sienta más cómodo puede leerla completa, es breve y no necesita improvisar)</w:t>
      </w:r>
    </w:p>
    <w:p>
      <w:pPr>
        <w:spacing w:after="220"/>
        <w:ind w:left="400"/>
      </w:pPr>
      <w:r>
        <w:rPr>
          <w:i/>
          <w:iCs/>
        </w:rPr>
        <w:t xml:space="preserve">"Usamos Claude Code como asistente de programación a lo largo de esta entrega, para scaffolding, implementación guiada, depuración y generación de pruebas. Todo el contenido de este mazo fue revisado por el equipo. Las decisiones de arquitectura y toda la verificación funcional —correr las pruebas, revisar las métricas, ejecutar el pipeline— siempre las hicimos nosotros, no la IA."</w:t>
      </w:r>
    </w:p>
    <w:p>
      <w:pPr>
        <w:pStyle w:val="Heading1"/>
        <w:spacing w:after="150" w:before="300"/>
      </w:pPr>
      <w:r>
        <w:t xml:space="preserve">Diapositiva 17 — Referencias</w:t>
      </w:r>
    </w:p>
    <w:p>
      <w:pPr>
        <w:spacing w:after="160"/>
      </w:pPr>
      <w:r>
        <w:rPr>
          <w:b w:val="false"/>
          <w:bCs w:val="false"/>
          <w:i/>
          <w:iCs/>
        </w:rPr>
        <w:t xml:space="preserve">(se proyecta, no hace falta leerla en voz alta salvo que pregunten)</w:t>
      </w:r>
    </w:p>
    <w:p>
      <w:pPr>
        <w:spacing w:after="220"/>
        <w:ind w:left="400"/>
      </w:pPr>
      <w:r>
        <w:rPr>
          <w:i/>
          <w:iCs/>
        </w:rPr>
        <w:t xml:space="preserve">"Ahí quedan las referencias completas en formato IEEE de todo lo que citamos: Özsu y Valduriez para fragmentación, Brewer y Abadi para CAP y PACELC, Ongaro y Ousterhout para Raft, y Zaharia para el modelo RDD de Spark. Quedamos atentos a sus preguntas."</w:t>
      </w:r>
    </w:p>
    <w:p>
      <w:pPr>
        <w:pStyle w:val="Heading1"/>
        <w:spacing w:after="150" w:before="300"/>
      </w:pPr>
      <w:r>
        <w:t xml:space="preserve">Notas rápidas para todos</w:t>
      </w:r>
    </w:p>
    <w:p>
      <w:pPr>
        <w:spacing w:after="100"/>
        <w:ind w:left="400"/>
      </w:pPr>
      <w:r>
        <w:t xml:space="preserve">• No lean las viñetas de la pantalla textualmente — la audiencia ya las está leyendo; digan lo mismo con sus propias palabras y un poco más de contexto, como está arriba.</w:t>
      </w:r>
    </w:p>
    <w:p>
      <w:pPr>
        <w:spacing w:after="100"/>
        <w:ind w:left="400"/>
      </w:pPr>
      <w:r>
        <w:t xml:space="preserve">• Practiquen la transición entre personas — decir algo como "le paso a Cristhian para las decisiones técnicas" ayuda a que no se sienta cortado.</w:t>
      </w:r>
    </w:p>
    <w:p>
      <w:pPr>
        <w:spacing w:after="100"/>
        <w:ind w:left="400"/>
      </w:pPr>
      <w:r>
        <w:t xml:space="preserve">• Si algo de la demo falla, no se pongan nerviosos: la diapositiva 13 es exactamente para eso, hay que decirlo con tranquilidad ("por si acaso, aquí está la misma corrida capturada hace unos días") y seguir.</w:t>
      </w:r>
    </w:p>
    <w:p>
      <w:pPr>
        <w:spacing w:after="100"/>
        <w:ind w:left="400"/>
      </w:pPr>
      <w:r>
        <w:t xml:space="preserve">• Cualquiera del equipo debe poder responder las 5 preguntas obligatorias del Anexo B de la guía (Raft y quórum, justificación de la clave de partición, ley de Amdahl y el 90% del speedup, amenazas a la validez interna, qué se reutiliza en E4) — repásenlas todos, no solo quien expuso esa parte.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2026-07-27T03:42:59.346Z</dcterms:created>
  <dcterms:modified xsi:type="dcterms:W3CDTF">2026-07-27T03:42:59.347Z</dcterms:modified>
</cp:coreProperties>
</file>

<file path=docProps/custom.xml><?xml version="1.0" encoding="utf-8"?>
<Properties xmlns="http://schemas.openxmlformats.org/officeDocument/2006/custom-properties" xmlns:vt="http://schemas.openxmlformats.org/officeDocument/2006/docPropsVTypes"/>
</file>