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q0sp1jxao73" w:id="0"/>
      <w:bookmarkEnd w:id="0"/>
      <w:r w:rsidDel="00000000" w:rsidR="00000000" w:rsidRPr="00000000">
        <w:rPr>
          <w:rtl w:val="0"/>
        </w:rPr>
        <w:t xml:space="preserve">Informe Técnico: Sistema de Clasificación Taxonómica mediante Visión Artificial</w:t>
      </w:r>
    </w:p>
    <w:p w:rsidR="00000000" w:rsidDel="00000000" w:rsidP="00000000" w:rsidRDefault="00000000" w:rsidRPr="00000000" w14:paraId="00000002">
      <w:pPr>
        <w:pStyle w:val="Heading4"/>
        <w:rPr/>
      </w:pPr>
      <w:bookmarkStart w:colFirst="0" w:colLast="0" w:name="_i2a7jhfg5bho" w:id="1"/>
      <w:bookmarkEnd w:id="1"/>
      <w:r w:rsidDel="00000000" w:rsidR="00000000" w:rsidRPr="00000000">
        <w:rPr>
          <w:rtl w:val="0"/>
        </w:rPr>
        <w:t xml:space="preserve">1. Resumen de Objetivos y Alcance</w:t>
      </w:r>
    </w:p>
    <w:p w:rsidR="00000000" w:rsidDel="00000000" w:rsidP="00000000" w:rsidRDefault="00000000" w:rsidRPr="00000000" w14:paraId="00000003">
      <w:pPr>
        <w:rPr/>
      </w:pPr>
      <w:r w:rsidDel="00000000" w:rsidR="00000000" w:rsidRPr="00000000">
        <w:rPr>
          <w:rtl w:val="0"/>
        </w:rPr>
        <w:t xml:space="preserve">El presente documento detalla el diseño, arquitectura e implementación de un sistema de Inteligencia Artificial especializado en la identificación automatizada de 17 especies botánicas. Con fecha de referencia de  </w:t>
      </w:r>
      <w:r w:rsidDel="00000000" w:rsidR="00000000" w:rsidRPr="00000000">
        <w:rPr>
          <w:b w:val="1"/>
          <w:bCs w:val="1"/>
          <w:rtl w:val="0"/>
        </w:rPr>
        <w:t xml:space="preserve">3 de febrero de 2026</w:t>
      </w:r>
      <w:r w:rsidDel="00000000" w:rsidR="00000000" w:rsidRPr="00000000">
        <w:rPr>
          <w:rtl w:val="0"/>
        </w:rPr>
        <w:t xml:space="preserve"> , se confirma el cumplimiento satisfactorio de los objetivos planteados: la transición técnica desde el procesamiento de datos visuales en bruto hacia un diagnóstico taxonómico de alta precisión basado en modelos probabilísticos. El sistema ha sido validado bajo estándares industriales, garantizando una arquitectura capaz de extraer características morfológicas complejas de manera autónoma.</w:t>
      </w:r>
    </w:p>
    <w:p w:rsidR="00000000" w:rsidDel="00000000" w:rsidP="00000000" w:rsidRDefault="00000000" w:rsidRPr="00000000" w14:paraId="00000004">
      <w:pPr>
        <w:pStyle w:val="Heading4"/>
        <w:rPr/>
      </w:pPr>
      <w:bookmarkStart w:colFirst="0" w:colLast="0" w:name="_c7kkogat493x" w:id="2"/>
      <w:bookmarkEnd w:id="2"/>
      <w:r w:rsidDel="00000000" w:rsidR="00000000" w:rsidRPr="00000000">
        <w:rPr>
          <w:rtl w:val="0"/>
        </w:rPr>
        <w:t xml:space="preserve">2. Contexto Tecnológico y Posicionamiento</w:t>
      </w:r>
    </w:p>
    <w:p w:rsidR="00000000" w:rsidDel="00000000" w:rsidP="00000000" w:rsidRDefault="00000000" w:rsidRPr="00000000" w14:paraId="00000005">
      <w:pPr>
        <w:rPr/>
      </w:pPr>
      <w:r w:rsidDel="00000000" w:rsidR="00000000" w:rsidRPr="00000000">
        <w:rPr>
          <w:rtl w:val="0"/>
        </w:rPr>
        <w:t xml:space="preserve">Este proyecto se sitúa en la intersección de la  </w:t>
      </w:r>
      <w:r w:rsidDel="00000000" w:rsidR="00000000" w:rsidRPr="00000000">
        <w:rPr>
          <w:b w:val="1"/>
          <w:bCs w:val="1"/>
          <w:rtl w:val="0"/>
        </w:rPr>
        <w:t xml:space="preserve">Visión por Computador</w:t>
      </w:r>
      <w:r w:rsidDel="00000000" w:rsidR="00000000" w:rsidRPr="00000000">
        <w:rPr>
          <w:rtl w:val="0"/>
        </w:rPr>
        <w:t xml:space="preserve">  y el  </w:t>
      </w:r>
      <w:r w:rsidDel="00000000" w:rsidR="00000000" w:rsidRPr="00000000">
        <w:rPr>
          <w:b w:val="1"/>
          <w:bCs w:val="1"/>
          <w:rtl w:val="0"/>
        </w:rPr>
        <w:t xml:space="preserve">Deep Learning</w:t>
      </w:r>
      <w:r w:rsidDel="00000000" w:rsidR="00000000" w:rsidRPr="00000000">
        <w:rPr>
          <w:rtl w:val="0"/>
        </w:rPr>
        <w:t xml:space="preserve"> , específicamente en la tarea de  </w:t>
      </w:r>
      <w:r w:rsidDel="00000000" w:rsidR="00000000" w:rsidRPr="00000000">
        <w:rPr>
          <w:b w:val="1"/>
          <w:bCs w:val="1"/>
          <w:rtl w:val="0"/>
        </w:rPr>
        <w:t xml:space="preserve">Clasificación de Imágenes</w:t>
      </w:r>
      <w:r w:rsidDel="00000000" w:rsidR="00000000" w:rsidRPr="00000000">
        <w:rPr>
          <w:rtl w:val="0"/>
        </w:rPr>
        <w:t xml:space="preserve"> . A diferencia de los enfoques de ingeniería de software convencionales, este sistema marca un cambio de paradigma:</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Programación Tradicional:</w:t>
      </w:r>
      <w:r w:rsidDel="00000000" w:rsidR="00000000" w:rsidRPr="00000000">
        <w:rPr>
          <w:rtl w:val="0"/>
        </w:rPr>
        <w:t xml:space="preserve">  Dependiente de reglas lógicas estáticas ( </w:t>
      </w:r>
      <w:r w:rsidDel="00000000" w:rsidR="00000000" w:rsidRPr="00000000">
        <w:rPr>
          <w:i w:val="1"/>
          <w:iCs w:val="1"/>
          <w:rtl w:val="0"/>
        </w:rPr>
        <w:t xml:space="preserve">if-else</w:t>
      </w:r>
      <w:r w:rsidDel="00000000" w:rsidR="00000000" w:rsidRPr="00000000">
        <w:rPr>
          <w:rtl w:val="0"/>
        </w:rPr>
        <w:t xml:space="preserve"> ) y descriptores manuales de características, lo cual resulta ineficiente ante la variabilidad biológica.</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Enfoque de Machine Learning:</w:t>
      </w:r>
      <w:r w:rsidDel="00000000" w:rsidR="00000000" w:rsidRPr="00000000">
        <w:rPr>
          <w:rtl w:val="0"/>
        </w:rPr>
        <w:t xml:space="preserve">  La red neuronal convolucional extrae patrones visuales de forma autónoma tras analizar miles de ejemplos del  </w:t>
      </w:r>
      <w:r w:rsidDel="00000000" w:rsidR="00000000" w:rsidRPr="00000000">
        <w:rPr>
          <w:b w:val="1"/>
          <w:bCs w:val="1"/>
          <w:rtl w:val="0"/>
        </w:rPr>
        <w:t xml:space="preserve">dataset Oxford original</w:t>
      </w:r>
      <w:r w:rsidDel="00000000" w:rsidR="00000000" w:rsidRPr="00000000">
        <w:rPr>
          <w:rtl w:val="0"/>
        </w:rPr>
        <w:t xml:space="preserve"> , permitiendo una generalización superior.La implementación se fundamenta en la arquitectura  </w:t>
      </w:r>
      <w:r w:rsidDel="00000000" w:rsidR="00000000" w:rsidRPr="00000000">
        <w:rPr>
          <w:b w:val="1"/>
          <w:bCs w:val="1"/>
          <w:rtl w:val="0"/>
        </w:rPr>
        <w:t xml:space="preserve">MobileNetV2</w:t>
      </w:r>
      <w:r w:rsidDel="00000000" w:rsidR="00000000" w:rsidRPr="00000000">
        <w:rPr>
          <w:rtl w:val="0"/>
        </w:rPr>
        <w:t xml:space="preserve"> , un pilar de la  </w:t>
      </w:r>
      <w:r w:rsidDel="00000000" w:rsidR="00000000" w:rsidRPr="00000000">
        <w:rPr>
          <w:b w:val="1"/>
          <w:bCs w:val="1"/>
          <w:rtl w:val="0"/>
        </w:rPr>
        <w:t xml:space="preserve">Edge AI</w:t>
      </w:r>
      <w:r w:rsidDel="00000000" w:rsidR="00000000" w:rsidRPr="00000000">
        <w:rPr>
          <w:rtl w:val="0"/>
        </w:rPr>
        <w:t xml:space="preserve">  (IA de borde). Se seleccionó este modelo específicamente para optimizar el compromiso ( </w:t>
      </w:r>
      <w:r w:rsidDel="00000000" w:rsidR="00000000" w:rsidRPr="00000000">
        <w:rPr>
          <w:i w:val="1"/>
          <w:iCs w:val="1"/>
          <w:rtl w:val="0"/>
        </w:rPr>
        <w:t xml:space="preserve">trade-off</w:t>
      </w:r>
      <w:r w:rsidDel="00000000" w:rsidR="00000000" w:rsidRPr="00000000">
        <w:rPr>
          <w:rtl w:val="0"/>
        </w:rPr>
        <w:t xml:space="preserve"> ) entre el costo computacional y la precisión (Top-1 Accuracy). Al ser una red diseñada para baja latencia y con un uso de memoria reducido, permite la ejecución de inferencias en dispositivos locales sin dependencia constante de la nube.</w:t>
      </w:r>
    </w:p>
    <w:p w:rsidR="00000000" w:rsidDel="00000000" w:rsidP="00000000" w:rsidRDefault="00000000" w:rsidRPr="00000000" w14:paraId="00000008">
      <w:pPr>
        <w:pStyle w:val="Heading4"/>
        <w:rPr/>
      </w:pPr>
      <w:bookmarkStart w:colFirst="0" w:colLast="0" w:name="_m4n0pu4yr0i7" w:id="3"/>
      <w:bookmarkEnd w:id="3"/>
      <w:r w:rsidDel="00000000" w:rsidR="00000000" w:rsidRPr="00000000">
        <w:rPr>
          <w:rtl w:val="0"/>
        </w:rPr>
        <w:t xml:space="preserve">3. Metodología y Arquitectura del Sistema</w:t>
      </w:r>
    </w:p>
    <w:p w:rsidR="00000000" w:rsidDel="00000000" w:rsidP="00000000" w:rsidRDefault="00000000" w:rsidRPr="00000000" w14:paraId="00000009">
      <w:pPr>
        <w:pStyle w:val="Heading5"/>
        <w:rPr/>
      </w:pPr>
      <w:bookmarkStart w:colFirst="0" w:colLast="0" w:name="_h7gs2wdlbwyb" w:id="4"/>
      <w:bookmarkEnd w:id="4"/>
      <w:r w:rsidDel="00000000" w:rsidR="00000000" w:rsidRPr="00000000">
        <w:rPr>
          <w:rtl w:val="0"/>
        </w:rPr>
        <w:t xml:space="preserve">3.1. Aprendizaje por Transferencia (Transfer Learning)</w:t>
      </w:r>
    </w:p>
    <w:p w:rsidR="00000000" w:rsidDel="00000000" w:rsidP="00000000" w:rsidRDefault="00000000" w:rsidRPr="00000000" w14:paraId="0000000A">
      <w:pPr>
        <w:rPr/>
      </w:pPr>
      <w:r w:rsidDel="00000000" w:rsidR="00000000" w:rsidRPr="00000000">
        <w:rPr>
          <w:rtl w:val="0"/>
        </w:rPr>
        <w:t xml:space="preserve">Se ha implementado una estrategia de  </w:t>
      </w:r>
      <w:r w:rsidDel="00000000" w:rsidR="00000000" w:rsidRPr="00000000">
        <w:rPr>
          <w:i w:val="1"/>
          <w:iCs w:val="1"/>
          <w:rtl w:val="0"/>
        </w:rPr>
        <w:t xml:space="preserve">Transfer Learning</w:t>
      </w:r>
      <w:r w:rsidDel="00000000" w:rsidR="00000000" w:rsidRPr="00000000">
        <w:rPr>
          <w:rtl w:val="0"/>
        </w:rPr>
        <w:t xml:space="preserve">  utilizando  </w:t>
      </w:r>
      <w:r w:rsidDel="00000000" w:rsidR="00000000" w:rsidRPr="00000000">
        <w:rPr>
          <w:b w:val="1"/>
          <w:bCs w:val="1"/>
          <w:rtl w:val="0"/>
        </w:rPr>
        <w:t xml:space="preserve">MobileNetV2</w:t>
      </w:r>
      <w:r w:rsidDel="00000000" w:rsidR="00000000" w:rsidRPr="00000000">
        <w:rPr>
          <w:rtl w:val="0"/>
        </w:rPr>
        <w:t xml:space="preserve">  pre-entrenada con el dataset  </w:t>
      </w:r>
      <w:r w:rsidDel="00000000" w:rsidR="00000000" w:rsidRPr="00000000">
        <w:rPr>
          <w:i w:val="1"/>
          <w:iCs w:val="1"/>
          <w:rtl w:val="0"/>
        </w:rPr>
        <w:t xml:space="preserve">ImageNet</w:t>
      </w:r>
      <w:r w:rsidDel="00000000" w:rsidR="00000000" w:rsidRPr="00000000">
        <w:rPr>
          <w:rtl w:val="0"/>
        </w:rPr>
        <w:t xml:space="preserve"> . Este enfoque permite reutilizar los filtros de detección de características generales (bordes, texturas, formas geométricas básicas) y especializar la "cabeza" del modelo en el dominio taxonómico del  </w:t>
      </w:r>
      <w:r w:rsidDel="00000000" w:rsidR="00000000" w:rsidRPr="00000000">
        <w:rPr>
          <w:b w:val="1"/>
          <w:bCs w:val="1"/>
          <w:rtl w:val="0"/>
        </w:rPr>
        <w:t xml:space="preserve">dataset Oxford original</w:t>
      </w:r>
      <w:r w:rsidDel="00000000" w:rsidR="00000000" w:rsidRPr="00000000">
        <w:rPr>
          <w:rtl w:val="0"/>
        </w:rPr>
        <w:t xml:space="preserve"> . Esto reduce drásticamente el tiempo de convergencia y los requisitos de hardware.</w:t>
      </w:r>
    </w:p>
    <w:p w:rsidR="00000000" w:rsidDel="00000000" w:rsidP="00000000" w:rsidRDefault="00000000" w:rsidRPr="00000000" w14:paraId="0000000B">
      <w:pPr>
        <w:pStyle w:val="Heading5"/>
        <w:rPr/>
      </w:pPr>
      <w:bookmarkStart w:colFirst="0" w:colLast="0" w:name="_y1jwbkdsx6wc" w:id="5"/>
      <w:bookmarkEnd w:id="5"/>
      <w:r w:rsidDel="00000000" w:rsidR="00000000" w:rsidRPr="00000000">
        <w:rPr>
          <w:rtl w:val="0"/>
        </w:rPr>
        <w:t xml:space="preserve">3.2. Redes Neuronales Convolucionales (CNN)</w:t>
      </w:r>
    </w:p>
    <w:p w:rsidR="00000000" w:rsidDel="00000000" w:rsidP="00000000" w:rsidRDefault="00000000" w:rsidRPr="00000000" w14:paraId="0000000C">
      <w:pPr>
        <w:rPr/>
      </w:pPr>
      <w:r w:rsidDel="00000000" w:rsidR="00000000" w:rsidRPr="00000000">
        <w:rPr>
          <w:rtl w:val="0"/>
        </w:rPr>
        <w:t xml:space="preserve">El núcleo del motor predictivo son las capas convolucionales, las cuales emulan el procesamiento de la corteza visual humana. Estas capas operan mediante una jerarquía de abstracción: las capas iniciales detectan micro-estructuras como líneas y colores, mientras que las capas más profundas sintetizan esta información para reconocer geometrías florales complejas y patrones de pétalos específicos.</w:t>
      </w:r>
    </w:p>
    <w:p w:rsidR="00000000" w:rsidDel="00000000" w:rsidP="00000000" w:rsidRDefault="00000000" w:rsidRPr="00000000" w14:paraId="0000000D">
      <w:pPr>
        <w:pStyle w:val="Heading5"/>
        <w:rPr/>
      </w:pPr>
      <w:bookmarkStart w:colFirst="0" w:colLast="0" w:name="_pszc32kku9jj" w:id="6"/>
      <w:bookmarkEnd w:id="6"/>
      <w:r w:rsidDel="00000000" w:rsidR="00000000" w:rsidRPr="00000000">
        <w:rPr>
          <w:rtl w:val="0"/>
        </w:rPr>
        <w:t xml:space="preserve">3.3. Aumento de Datos (Data Augmentation)</w:t>
      </w:r>
    </w:p>
    <w:p w:rsidR="00000000" w:rsidDel="00000000" w:rsidP="00000000" w:rsidRDefault="00000000" w:rsidRPr="00000000" w14:paraId="0000000E">
      <w:pPr>
        <w:rPr/>
      </w:pPr>
      <w:r w:rsidDel="00000000" w:rsidR="00000000" w:rsidRPr="00000000">
        <w:rPr>
          <w:rtl w:val="0"/>
        </w:rPr>
        <w:t xml:space="preserve">Para mitigar el riesgo de sobreajuste ( </w:t>
      </w:r>
      <w:r w:rsidDel="00000000" w:rsidR="00000000" w:rsidRPr="00000000">
        <w:rPr>
          <w:i w:val="1"/>
          <w:iCs w:val="1"/>
          <w:rtl w:val="0"/>
        </w:rPr>
        <w:t xml:space="preserve">overfitting</w:t>
      </w:r>
      <w:r w:rsidDel="00000000" w:rsidR="00000000" w:rsidRPr="00000000">
        <w:rPr>
          <w:rtl w:val="0"/>
        </w:rPr>
        <w:t xml:space="preserve"> ) y fortalecer la resiliencia del modelo ante variaciones ambientales, se aplicaron transformaciones estocásticas durante la fase de entrenamiento:</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Rotación y Zoom:</w:t>
      </w:r>
      <w:r w:rsidDel="00000000" w:rsidR="00000000" w:rsidRPr="00000000">
        <w:rPr>
          <w:rtl w:val="0"/>
        </w:rPr>
        <w:t xml:space="preserve">  Para compensar variaciones de ángulo y distancia focal.</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Volteo Horizontal:</w:t>
      </w:r>
      <w:r w:rsidDel="00000000" w:rsidR="00000000" w:rsidRPr="00000000">
        <w:rPr>
          <w:rtl w:val="0"/>
        </w:rPr>
        <w:t xml:space="preserve">  Para asegurar la invarianza espacial. Estas técnicas obligan a la red a aprender representaciones latentes de las especies en lugar de memorizar muestras específicas.</w:t>
      </w:r>
    </w:p>
    <w:p w:rsidR="00000000" w:rsidDel="00000000" w:rsidP="00000000" w:rsidRDefault="00000000" w:rsidRPr="00000000" w14:paraId="00000011">
      <w:pPr>
        <w:pStyle w:val="Heading4"/>
        <w:rPr/>
      </w:pPr>
      <w:bookmarkStart w:colFirst="0" w:colLast="0" w:name="_90x98wlqfx30" w:id="7"/>
      <w:bookmarkEnd w:id="7"/>
      <w:r w:rsidDel="00000000" w:rsidR="00000000" w:rsidRPr="00000000">
        <w:rPr>
          <w:rtl w:val="0"/>
        </w:rPr>
        <w:t xml:space="preserve">4. Implementación Técnica y Configuración</w:t>
      </w:r>
    </w:p>
    <w:p w:rsidR="00000000" w:rsidDel="00000000" w:rsidP="00000000" w:rsidRDefault="00000000" w:rsidRPr="00000000" w14:paraId="00000012">
      <w:pPr>
        <w:rPr/>
      </w:pPr>
      <w:r w:rsidDel="00000000" w:rsidR="00000000" w:rsidRPr="00000000">
        <w:rPr>
          <w:rtl w:val="0"/>
        </w:rPr>
        <w:t xml:space="preserve">El flujo de trabajo se estructura en dos scripts principales: preparacion_Detector.py para el entrenamiento y optimización, y Detector_Flores_IA.py para la fase de inferencia y validación.Para garantizar la estabilidad del sistema en entornos TensorFlow 2.x, se implementó un  </w:t>
      </w:r>
      <w:r w:rsidDel="00000000" w:rsidR="00000000" w:rsidRPr="00000000">
        <w:rPr>
          <w:i w:val="1"/>
          <w:iCs w:val="1"/>
          <w:rtl w:val="0"/>
        </w:rPr>
        <w:t xml:space="preserve">shim</w:t>
      </w:r>
      <w:r w:rsidDel="00000000" w:rsidR="00000000" w:rsidRPr="00000000">
        <w:rPr>
          <w:rtl w:val="0"/>
        </w:rPr>
        <w:t xml:space="preserve">  de compatibilidad inicial:</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Asegurar compatibilidad de funciones de preprocesamiento y capas Keras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os.environ['TF_USE_LEGACY_KERAS'] = '1'</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pStyle w:val="Heading5"/>
        <w:rPr/>
      </w:pPr>
      <w:bookmarkStart w:colFirst="0" w:colLast="0" w:name="_7fa0j162rdkc" w:id="8"/>
      <w:bookmarkEnd w:id="8"/>
      <w:r w:rsidDel="00000000" w:rsidR="00000000" w:rsidRPr="00000000">
        <w:rPr>
          <w:rtl w:val="0"/>
        </w:rPr>
        <w:t xml:space="preserve">Arquitectura de Salida</w:t>
      </w:r>
    </w:p>
    <w:p w:rsidR="00000000" w:rsidDel="00000000" w:rsidP="00000000" w:rsidRDefault="00000000" w:rsidRPr="00000000" w14:paraId="00000017">
      <w:pPr>
        <w:rPr/>
      </w:pPr>
      <w:r w:rsidDel="00000000" w:rsidR="00000000" w:rsidRPr="00000000">
        <w:rPr>
          <w:rtl w:val="0"/>
        </w:rPr>
        <w:t xml:space="preserve">Sobre la base de MobileNetV2, se integró una capa densa personalizada con 17 neuronas y una función de activación  </w:t>
      </w:r>
      <w:r w:rsidDel="00000000" w:rsidR="00000000" w:rsidRPr="00000000">
        <w:rPr>
          <w:b w:val="1"/>
          <w:bCs w:val="1"/>
          <w:rtl w:val="0"/>
        </w:rPr>
        <w:t xml:space="preserve">Softmax</w:t>
      </w:r>
      <w:r w:rsidDel="00000000" w:rsidR="00000000" w:rsidRPr="00000000">
        <w:rPr>
          <w:rtl w:val="0"/>
        </w:rPr>
        <w:t xml:space="preserve"> . Esta función es crítica, ya que normaliza las salidas de la red en una distribución de probabilidad que suma 1.0 (100%). El modelo fue compilado con el optimizador  </w:t>
      </w:r>
      <w:r w:rsidDel="00000000" w:rsidR="00000000" w:rsidRPr="00000000">
        <w:rPr>
          <w:b w:val="1"/>
          <w:bCs w:val="1"/>
          <w:rtl w:val="0"/>
        </w:rPr>
        <w:t xml:space="preserve">Adam</w:t>
      </w:r>
      <w:r w:rsidDel="00000000" w:rsidR="00000000" w:rsidRPr="00000000">
        <w:rPr>
          <w:rtl w:val="0"/>
        </w:rPr>
        <w:t xml:space="preserve">  y entrenado durante 10 épocas, resultando en el artefacto final de alta jerarquía denominado modelo_flores_cnn.h5.</w:t>
      </w:r>
    </w:p>
    <w:p w:rsidR="00000000" w:rsidDel="00000000" w:rsidP="00000000" w:rsidRDefault="00000000" w:rsidRPr="00000000" w14:paraId="00000018">
      <w:pPr>
        <w:pStyle w:val="Heading4"/>
        <w:rPr/>
      </w:pPr>
      <w:bookmarkStart w:colFirst="0" w:colLast="0" w:name="_g33mwdv27jni" w:id="9"/>
      <w:bookmarkEnd w:id="9"/>
      <w:r w:rsidDel="00000000" w:rsidR="00000000" w:rsidRPr="00000000">
        <w:rPr>
          <w:rtl w:val="0"/>
        </w:rPr>
        <w:t xml:space="preserve">5. Análisis de Calidad y Métricas de Rendimiento</w:t>
      </w:r>
    </w:p>
    <w:p w:rsidR="00000000" w:rsidDel="00000000" w:rsidP="00000000" w:rsidRDefault="00000000" w:rsidRPr="00000000" w14:paraId="00000019">
      <w:pPr>
        <w:rPr/>
      </w:pPr>
      <w:r w:rsidDel="00000000" w:rsidR="00000000" w:rsidRPr="00000000">
        <w:rPr>
          <w:rtl w:val="0"/>
        </w:rPr>
        <w:t xml:space="preserve">El rendimiento del modelo se ha auditado mediante métricas de grado industrial que aseguran su fiabilidad operativa:| Métrica | Descripción Técnica | Resultado Obtenido || ------ | ------ | ------ || </w:t>
      </w:r>
      <w:r w:rsidDel="00000000" w:rsidR="00000000" w:rsidRPr="00000000">
        <w:rPr>
          <w:b w:val="1"/>
          <w:bCs w:val="1"/>
          <w:rtl w:val="0"/>
        </w:rPr>
        <w:t xml:space="preserve">Precisión (Accuracy)</w:t>
      </w:r>
      <w:r w:rsidDel="00000000" w:rsidR="00000000" w:rsidRPr="00000000">
        <w:rPr>
          <w:rtl w:val="0"/>
        </w:rPr>
        <w:t xml:space="preserve"> | Porcentaje de aciertos sobre el total de datos de validación. | </w:t>
      </w:r>
      <w:r w:rsidDel="00000000" w:rsidR="00000000" w:rsidRPr="00000000">
        <w:rPr>
          <w:b w:val="1"/>
          <w:bCs w:val="1"/>
          <w:rtl w:val="0"/>
        </w:rPr>
        <w:t xml:space="preserve">&gt; 90%</w:t>
      </w:r>
      <w:r w:rsidDel="00000000" w:rsidR="00000000" w:rsidRPr="00000000">
        <w:rPr>
          <w:rtl w:val="0"/>
        </w:rPr>
        <w:t xml:space="preserve"> || </w:t>
      </w:r>
      <w:r w:rsidDel="00000000" w:rsidR="00000000" w:rsidRPr="00000000">
        <w:rPr>
          <w:b w:val="1"/>
          <w:bCs w:val="1"/>
          <w:rtl w:val="0"/>
        </w:rPr>
        <w:t xml:space="preserve">Pérdida (Categorical Crossentropy)</w:t>
      </w:r>
      <w:r w:rsidDel="00000000" w:rsidR="00000000" w:rsidRPr="00000000">
        <w:rPr>
          <w:rtl w:val="0"/>
        </w:rPr>
        <w:t xml:space="preserve"> | Función de coste que penaliza las predicciones incorrectas realizadas con alta confianza. | Valor minimizado tras 10 épocas. |</w:t>
      </w:r>
    </w:p>
    <w:p w:rsidR="00000000" w:rsidDel="00000000" w:rsidP="00000000" w:rsidRDefault="00000000" w:rsidRPr="00000000" w14:paraId="0000001A">
      <w:pPr>
        <w:pStyle w:val="Heading5"/>
        <w:rPr/>
      </w:pPr>
      <w:bookmarkStart w:colFirst="0" w:colLast="0" w:name="_pwdwhs8tugtl" w:id="10"/>
      <w:bookmarkEnd w:id="10"/>
      <w:r w:rsidDel="00000000" w:rsidR="00000000" w:rsidRPr="00000000">
        <w:rPr>
          <w:rtl w:val="0"/>
        </w:rPr>
        <w:t xml:space="preserve">Certeza Individual</w:t>
      </w:r>
    </w:p>
    <w:p w:rsidR="00000000" w:rsidDel="00000000" w:rsidP="00000000" w:rsidRDefault="00000000" w:rsidRPr="00000000" w14:paraId="0000001B">
      <w:pPr>
        <w:rPr/>
      </w:pPr>
      <w:r w:rsidDel="00000000" w:rsidR="00000000" w:rsidRPr="00000000">
        <w:rPr>
          <w:rtl w:val="0"/>
        </w:rPr>
        <w:t xml:space="preserve">Más allá de la clasificación, el sistema devuelve un valor de  </w:t>
      </w:r>
      <w:r w:rsidDel="00000000" w:rsidR="00000000" w:rsidRPr="00000000">
        <w:rPr>
          <w:b w:val="1"/>
          <w:bCs w:val="1"/>
          <w:rtl w:val="0"/>
        </w:rPr>
        <w:t xml:space="preserve">Certeza Individual</w:t>
      </w:r>
      <w:r w:rsidDel="00000000" w:rsidR="00000000" w:rsidRPr="00000000">
        <w:rPr>
          <w:rtl w:val="0"/>
        </w:rPr>
        <w:t xml:space="preserve">  (ej. "Certeza: 98.45%"). Como arquitectos de soluciones, este dato es fundamental para implementar umbrales de seguridad en producción, permitiendo descartar clasificaciones donde la confianza de la IA sea insuficiente para un diagnóstico taxonómico responsable.</w:t>
      </w:r>
    </w:p>
    <w:p w:rsidR="00000000" w:rsidDel="00000000" w:rsidP="00000000" w:rsidRDefault="00000000" w:rsidRPr="00000000" w14:paraId="0000001C">
      <w:pPr>
        <w:pStyle w:val="Heading4"/>
        <w:rPr/>
      </w:pPr>
      <w:bookmarkStart w:colFirst="0" w:colLast="0" w:name="_et19iyls2y19" w:id="11"/>
      <w:bookmarkEnd w:id="11"/>
      <w:r w:rsidDel="00000000" w:rsidR="00000000" w:rsidRPr="00000000">
        <w:rPr>
          <w:rtl w:val="0"/>
        </w:rPr>
        <w:t xml:space="preserve">6. Validación en Casos Reales y Comportamiento del Modelo</w:t>
      </w:r>
    </w:p>
    <w:p w:rsidR="00000000" w:rsidDel="00000000" w:rsidP="00000000" w:rsidRDefault="00000000" w:rsidRPr="00000000" w14:paraId="0000001D">
      <w:pPr>
        <w:rPr/>
      </w:pPr>
      <w:r w:rsidDel="00000000" w:rsidR="00000000" w:rsidRPr="00000000">
        <w:rPr>
          <w:rtl w:val="0"/>
        </w:rPr>
        <w:t xml:space="preserve">Se sometió al sistema a una prueba de estrés utilizando una especie no incluida en las 17 categorías del dataset original: el  </w:t>
      </w:r>
      <w:r w:rsidDel="00000000" w:rsidR="00000000" w:rsidRPr="00000000">
        <w:rPr>
          <w:b w:val="1"/>
          <w:bCs w:val="1"/>
          <w:rtl w:val="0"/>
        </w:rPr>
        <w:t xml:space="preserve">Lirio de San Antonio</w:t>
      </w:r>
      <w:r w:rsidDel="00000000" w:rsidR="00000000" w:rsidRPr="00000000">
        <w:rPr>
          <w:rtl w:val="0"/>
        </w:rPr>
        <w:t xml:space="preserve">  ( </w:t>
      </w:r>
      <w:r w:rsidDel="00000000" w:rsidR="00000000" w:rsidRPr="00000000">
        <w:rPr>
          <w:i w:val="1"/>
          <w:iCs w:val="1"/>
          <w:rtl w:val="0"/>
        </w:rPr>
        <w:t xml:space="preserve">Lilium candidum</w:t>
      </w:r>
      <w:r w:rsidDel="00000000" w:rsidR="00000000" w:rsidRPr="00000000">
        <w:rPr>
          <w:rtl w:val="0"/>
        </w:rPr>
        <w:t xml:space="preserve"> ).</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Clasificación emitida:</w:t>
      </w:r>
      <w:r w:rsidDel="00000000" w:rsidR="00000000" w:rsidRPr="00000000">
        <w:rPr>
          <w:rtl w:val="0"/>
        </w:rPr>
        <w:t xml:space="preserve">   </w:t>
      </w:r>
      <w:r w:rsidDel="00000000" w:rsidR="00000000" w:rsidRPr="00000000">
        <w:rPr>
          <w:i w:val="1"/>
          <w:iCs w:val="1"/>
          <w:rtl w:val="0"/>
        </w:rPr>
        <w:t xml:space="preserve">Windflower</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Certeza:</w:t>
      </w:r>
      <w:r w:rsidDel="00000000" w:rsidR="00000000" w:rsidRPr="00000000">
        <w:rPr>
          <w:rtl w:val="0"/>
        </w:rPr>
        <w:t xml:space="preserve">   </w:t>
      </w:r>
      <w:r w:rsidDel="00000000" w:rsidR="00000000" w:rsidRPr="00000000">
        <w:rPr>
          <w:b w:val="1"/>
          <w:bCs w:val="1"/>
          <w:rtl w:val="0"/>
        </w:rPr>
        <w:t xml:space="preserve">42.20%Interpretación del Arquitecto:</w:t>
      </w:r>
      <w:r w:rsidDel="00000000" w:rsidR="00000000" w:rsidRPr="00000000">
        <w:rPr>
          <w:rtl w:val="0"/>
        </w:rPr>
        <w:t xml:space="preserve">  Este resultado valida la robustez lógica del modelo. Al enfrentarse a una especie desconocida, el sistema no emite un falso positivo con alta confianza (ej. &gt;90%). En su lugar, identifica la categoría visualmente más cercana disponible, pero asigna una confianza baja (42.20%). Este comportamiento es el esperado en sistemas de IA maduros: la capacidad de manifestar incertidumbre ante datos fuera de distribución ( </w:t>
      </w:r>
      <w:r w:rsidDel="00000000" w:rsidR="00000000" w:rsidRPr="00000000">
        <w:rPr>
          <w:i w:val="1"/>
          <w:iCs w:val="1"/>
          <w:rtl w:val="0"/>
        </w:rPr>
        <w:t xml:space="preserve">Out-of-Distribution</w:t>
      </w:r>
      <w:r w:rsidDel="00000000" w:rsidR="00000000" w:rsidRPr="00000000">
        <w:rPr>
          <w:rtl w:val="0"/>
        </w:rPr>
        <w:t xml:space="preserve"> ).</w:t>
      </w:r>
    </w:p>
    <w:p w:rsidR="00000000" w:rsidDel="00000000" w:rsidP="00000000" w:rsidRDefault="00000000" w:rsidRPr="00000000" w14:paraId="00000020">
      <w:pPr>
        <w:pStyle w:val="Heading4"/>
        <w:rPr/>
      </w:pPr>
      <w:bookmarkStart w:colFirst="0" w:colLast="0" w:name="_5bjd8npb6ch8" w:id="12"/>
      <w:bookmarkEnd w:id="12"/>
      <w:r w:rsidDel="00000000" w:rsidR="00000000" w:rsidRPr="00000000">
        <w:rPr>
          <w:rtl w:val="0"/>
        </w:rPr>
        <w:t xml:space="preserve">7. Conclusiones y Escalabilidad</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Validación de Éxito:</w:t>
      </w:r>
      <w:r w:rsidDel="00000000" w:rsidR="00000000" w:rsidRPr="00000000">
        <w:rPr>
          <w:rtl w:val="0"/>
        </w:rPr>
        <w:t xml:space="preserve">  El sistema ha cumplido con los criterios de precisión y eficiencia, consolidando un motor de visión artificial capaz de realizar diagnósticos taxonómicos precisos.</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Escalabilidad Arquitectónica:</w:t>
      </w:r>
      <w:r w:rsidDel="00000000" w:rsidR="00000000" w:rsidRPr="00000000">
        <w:rPr>
          <w:rtl w:val="0"/>
        </w:rPr>
        <w:t xml:space="preserve">  El diseño basado en  </w:t>
      </w:r>
      <w:r w:rsidDel="00000000" w:rsidR="00000000" w:rsidRPr="00000000">
        <w:rPr>
          <w:i w:val="1"/>
          <w:iCs w:val="1"/>
          <w:rtl w:val="0"/>
        </w:rPr>
        <w:t xml:space="preserve">Transfer Learning</w:t>
      </w:r>
      <w:r w:rsidDel="00000000" w:rsidR="00000000" w:rsidRPr="00000000">
        <w:rPr>
          <w:rtl w:val="0"/>
        </w:rPr>
        <w:t xml:space="preserve">  permite la expansión del catálogo a nuevas especies con una reconfiguración mínima de la capa de salida y un re-entrenamiento ligero.</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Estado Operativo:</w:t>
      </w:r>
      <w:r w:rsidDel="00000000" w:rsidR="00000000" w:rsidRPr="00000000">
        <w:rPr>
          <w:rtl w:val="0"/>
        </w:rPr>
        <w:t xml:space="preserve">  El modelo modelo_flores_cnn.h5, junto con el script de inferencia Detector_Flores_IA.py, constituye una solución completa y lista para ser integrada en ecosistemas de producción, aplicaciones móviles o dispositivos de campo (Edge Devices).</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