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Arial" w:cs="Arial" w:eastAsia="Arial" w:hAnsi="Arial"/>
          <w:b/>
          <w:bCs/>
          <w:i w:val="false"/>
          <w:iCs w:val="false"/>
          <w:color w:val="000000"/>
          <w:sz w:val="24"/>
          <w:szCs w:val="24"/>
          <w:u w:val="single"/>
        </w:rPr>
        <w:t xml:space="preserve">INFORME N.° 001-2026-GSS-SISOL</w:t>
      </w:r>
    </w:p>
    <w:p>
      <w:pPr>
        <w:spacing w:after="240" w:before="0" w:line="276"/>
        <w:jc w:val="center"/>
      </w:pPr>
      <w:r>
        <w:rPr>
          <w:rFonts w:ascii="Arial" w:cs="Arial" w:eastAsia="Arial" w:hAnsi="Arial"/>
          <w:b/>
          <w:bCs/>
          <w:i w:val="false"/>
          <w:iCs w:val="false"/>
          <w:color w:val="000000"/>
          <w:sz w:val="24"/>
          <w:szCs w:val="24"/>
        </w:rPr>
        <w:t xml:space="preserve">INFORME EJECUTIVO AL DIRECTORIO</w:t>
      </w:r>
    </w:p>
    <w:p>
      <w:pPr>
        <w:spacing w:after="80" w:before="0" w:line="276"/>
        <w:jc w:val="left"/>
      </w:pPr>
      <w:r>
        <w:rPr>
          <w:rFonts w:ascii="Arial" w:cs="Arial" w:eastAsia="Arial" w:hAnsi="Arial"/>
          <w:b/>
          <w:bCs/>
          <w:i w:val="false"/>
          <w:iCs w:val="false"/>
          <w:color w:val="000000"/>
          <w:sz w:val="22"/>
          <w:szCs w:val="22"/>
        </w:rPr>
        <w:t xml:space="preserve">A			: </w:t>
      </w:r>
      <w:r>
        <w:rPr>
          <w:rFonts w:ascii="Arial" w:cs="Arial" w:eastAsia="Arial" w:hAnsi="Arial"/>
          <w:b w:val="false"/>
          <w:bCs w:val="false"/>
          <w:i w:val="false"/>
          <w:iCs w:val="false"/>
          <w:color w:val="000000"/>
          <w:sz w:val="22"/>
          <w:szCs w:val="22"/>
        </w:rPr>
        <w:t xml:space="preserve">Directorio de SISOL SALUD</w:t>
      </w:r>
    </w:p>
    <w:p>
      <w:pPr>
        <w:spacing w:after="80" w:before="0" w:line="276"/>
        <w:jc w:val="left"/>
      </w:pPr>
      <w:r>
        <w:rPr>
          <w:rFonts w:ascii="Arial" w:cs="Arial" w:eastAsia="Arial" w:hAnsi="Arial"/>
          <w:b/>
          <w:bCs/>
          <w:i w:val="false"/>
          <w:iCs w:val="false"/>
          <w:color w:val="000000"/>
          <w:sz w:val="22"/>
          <w:szCs w:val="22"/>
        </w:rPr>
        <w:t xml:space="preserve">DE			: </w:t>
      </w:r>
      <w:r>
        <w:rPr>
          <w:rFonts w:ascii="Arial" w:cs="Arial" w:eastAsia="Arial" w:hAnsi="Arial"/>
          <w:b w:val="false"/>
          <w:bCs w:val="false"/>
          <w:i w:val="false"/>
          <w:iCs w:val="false"/>
          <w:color w:val="000000"/>
          <w:sz w:val="22"/>
          <w:szCs w:val="22"/>
        </w:rPr>
        <w:t xml:space="preserve">Gerencia de Servicios de Salud</w:t>
      </w:r>
    </w:p>
    <w:p>
      <w:pPr>
        <w:spacing w:after="80" w:before="0" w:line="276"/>
        <w:jc w:val="left"/>
      </w:pPr>
      <w:r>
        <w:rPr>
          <w:rFonts w:ascii="Arial" w:cs="Arial" w:eastAsia="Arial" w:hAnsi="Arial"/>
          <w:b/>
          <w:bCs/>
          <w:i w:val="false"/>
          <w:iCs w:val="false"/>
          <w:color w:val="000000"/>
          <w:sz w:val="22"/>
          <w:szCs w:val="22"/>
        </w:rPr>
        <w:t xml:space="preserve">ASUNTO		: </w:t>
      </w:r>
      <w:r>
        <w:rPr>
          <w:rFonts w:ascii="Arial" w:cs="Arial" w:eastAsia="Arial" w:hAnsi="Arial"/>
          <w:b w:val="false"/>
          <w:bCs w:val="false"/>
          <w:i w:val="false"/>
          <w:iCs w:val="false"/>
          <w:color w:val="000000"/>
          <w:sz w:val="22"/>
          <w:szCs w:val="22"/>
        </w:rPr>
        <w:t xml:space="preserve">Estado situacional del Proyecto GRAVE — Grupo de Respuesta Avanzada para Vidas en Emergencia</w:t>
      </w:r>
    </w:p>
    <w:p>
      <w:pPr>
        <w:spacing w:after="80" w:before="0" w:line="276"/>
        <w:jc w:val="left"/>
      </w:pPr>
      <w:r>
        <w:rPr>
          <w:rFonts w:ascii="Arial" w:cs="Arial" w:eastAsia="Arial" w:hAnsi="Arial"/>
          <w:b/>
          <w:bCs/>
          <w:i w:val="false"/>
          <w:iCs w:val="false"/>
          <w:color w:val="000000"/>
          <w:sz w:val="22"/>
          <w:szCs w:val="22"/>
        </w:rPr>
        <w:t xml:space="preserve">REFERENCIA	: </w:t>
      </w:r>
      <w:r>
        <w:rPr>
          <w:rFonts w:ascii="Arial" w:cs="Arial" w:eastAsia="Arial" w:hAnsi="Arial"/>
          <w:b w:val="false"/>
          <w:bCs w:val="false"/>
          <w:i w:val="false"/>
          <w:iCs w:val="false"/>
          <w:color w:val="000000"/>
          <w:sz w:val="22"/>
          <w:szCs w:val="22"/>
        </w:rPr>
        <w:t xml:space="preserve">Presentación ejecutiva Proyecto GRAVE (mayo 2026) — Coordinaciones técnicas con la MML</w:t>
      </w:r>
    </w:p>
    <w:p>
      <w:pPr>
        <w:spacing w:after="240" w:before="0" w:line="276"/>
        <w:jc w:val="left"/>
      </w:pPr>
      <w:r>
        <w:rPr>
          <w:rFonts w:ascii="Arial" w:cs="Arial" w:eastAsia="Arial" w:hAnsi="Arial"/>
          <w:b/>
          <w:bCs/>
          <w:i w:val="false"/>
          <w:iCs w:val="false"/>
          <w:color w:val="000000"/>
          <w:sz w:val="22"/>
          <w:szCs w:val="22"/>
        </w:rPr>
        <w:t xml:space="preserve">FECHA		: </w:t>
      </w:r>
      <w:r>
        <w:rPr>
          <w:rFonts w:ascii="Arial" w:cs="Arial" w:eastAsia="Arial" w:hAnsi="Arial"/>
          <w:b w:val="false"/>
          <w:bCs w:val="false"/>
          <w:i w:val="false"/>
          <w:iCs w:val="false"/>
          <w:color w:val="000000"/>
          <w:sz w:val="22"/>
          <w:szCs w:val="22"/>
        </w:rPr>
        <w:t xml:space="preserve">Lima, 24 de junio de 2026</w:t>
      </w:r>
    </w:p>
    <w:p>
      <w:pPr>
        <w:spacing w:after="120" w:before="240" w:line="276"/>
        <w:jc w:val="left"/>
      </w:pPr>
      <w:r>
        <w:rPr>
          <w:rFonts w:ascii="Arial" w:cs="Arial" w:eastAsia="Arial" w:hAnsi="Arial"/>
          <w:b/>
          <w:bCs/>
          <w:i w:val="false"/>
          <w:iCs w:val="false"/>
          <w:color w:val="000000"/>
          <w:sz w:val="22"/>
          <w:szCs w:val="22"/>
        </w:rPr>
        <w:t xml:space="preserve">I.	</w:t>
      </w:r>
      <w:r>
        <w:rPr>
          <w:rFonts w:ascii="Arial" w:cs="Arial" w:eastAsia="Arial" w:hAnsi="Arial"/>
          <w:b/>
          <w:bCs/>
          <w:i w:val="false"/>
          <w:iCs w:val="false"/>
          <w:color w:val="000000"/>
          <w:sz w:val="22"/>
          <w:szCs w:val="22"/>
          <w:u w:val="single"/>
        </w:rPr>
        <w:t xml:space="preserve">ANTECEDENTES</w:t>
      </w:r>
    </w:p>
    <w:p>
      <w:pPr>
        <w:spacing w:after="160" w:before="0" w:line="276"/>
        <w:jc w:val="both"/>
      </w:pPr>
      <w:r>
        <w:rPr>
          <w:rFonts w:ascii="Arial" w:cs="Arial" w:eastAsia="Arial" w:hAnsi="Arial"/>
          <w:b w:val="false"/>
          <w:bCs w:val="false"/>
          <w:i w:val="false"/>
          <w:iCs w:val="false"/>
          <w:color w:val="000000"/>
          <w:sz w:val="22"/>
          <w:szCs w:val="22"/>
        </w:rPr>
        <w:t xml:space="preserve">El Proyecto GRAVE (Grupo de Respuesta Avanzada para Vidas en Emergencia) surge por iniciativa de la Gerencia Municipal de la Municipalidad Metropolitana de Lima (MML) como respuesta a la crítica brecha en los tiempos de atención prehospitalaria de la ciudad. Lima Metropolitana concentra 10.4 millones de habitantes y una congestión vehicular que torna ineficaz el sistema clásico de ambulancias como primer respondedor.</w:t>
      </w:r>
    </w:p>
    <w:p>
      <w:pPr>
        <w:spacing w:after="160" w:before="0" w:line="276"/>
        <w:jc w:val="both"/>
      </w:pPr>
      <w:r>
        <w:rPr>
          <w:rFonts w:ascii="Arial" w:cs="Arial" w:eastAsia="Arial" w:hAnsi="Arial"/>
          <w:b w:val="false"/>
          <w:bCs w:val="false"/>
          <w:i w:val="false"/>
          <w:iCs w:val="false"/>
          <w:color w:val="000000"/>
          <w:sz w:val="22"/>
          <w:szCs w:val="22"/>
        </w:rPr>
        <w:t xml:space="preserve">La premisa científica es determinante: cada minuto sin atención en un paro cardiorrespiratorio reduce la probabilidad de supervivencia entre 8 % y 10 %. Bajo el escenario actual, las motos paramédicas representan el primer eslabón de la cadena de respuesta, actuando como unidades de estabilización —no de traslado— que permiten sostener al paciente hasta la llegada de la ambulancia (SISOL, SAMU o EsSalud).</w:t>
      </w:r>
    </w:p>
    <w:p>
      <w:pPr>
        <w:spacing w:after="0" w:before="0" w:line="276"/>
        <w:jc w:val="both"/>
      </w:pPr>
      <w:r>
        <w:rPr>
          <w:rFonts w:ascii="Arial" w:cs="Arial" w:eastAsia="Arial" w:hAnsi="Arial"/>
          <w:b w:val="false"/>
          <w:bCs w:val="false"/>
          <w:i w:val="false"/>
          <w:iCs w:val="false"/>
          <w:color w:val="000000"/>
          <w:sz w:val="22"/>
          <w:szCs w:val="22"/>
        </w:rPr>
        <w:t xml:space="preserve">En mayo de 2026 se presentó ante las autoridades de SISOL SALUD la documentación técnica del proyecto: presentación ejecutiva, costeo detallado y especificaciones de los maletines de respuesta rápida.</w:t>
      </w:r>
    </w:p>
    <w:p>
      <w:pPr>
        <w:spacing w:after="120" w:before="240" w:line="276"/>
        <w:jc w:val="left"/>
      </w:pPr>
      <w:r>
        <w:rPr>
          <w:rFonts w:ascii="Arial" w:cs="Arial" w:eastAsia="Arial" w:hAnsi="Arial"/>
          <w:b/>
          <w:bCs/>
          <w:i w:val="false"/>
          <w:iCs w:val="false"/>
          <w:color w:val="000000"/>
          <w:sz w:val="22"/>
          <w:szCs w:val="22"/>
        </w:rPr>
        <w:t xml:space="preserve">II.	</w:t>
      </w:r>
      <w:r>
        <w:rPr>
          <w:rFonts w:ascii="Arial" w:cs="Arial" w:eastAsia="Arial" w:hAnsi="Arial"/>
          <w:b/>
          <w:bCs/>
          <w:i w:val="false"/>
          <w:iCs w:val="false"/>
          <w:color w:val="000000"/>
          <w:sz w:val="22"/>
          <w:szCs w:val="22"/>
          <w:u w:val="single"/>
        </w:rPr>
        <w:t xml:space="preserve">OBJETIVO DEL INFORME</w:t>
      </w:r>
    </w:p>
    <w:p>
      <w:pPr>
        <w:spacing w:after="0" w:before="0" w:line="276"/>
        <w:jc w:val="both"/>
      </w:pPr>
      <w:r>
        <w:rPr>
          <w:rFonts w:ascii="Arial" w:cs="Arial" w:eastAsia="Arial" w:hAnsi="Arial"/>
          <w:b w:val="false"/>
          <w:bCs w:val="false"/>
          <w:i w:val="false"/>
          <w:iCs w:val="false"/>
          <w:color w:val="000000"/>
          <w:sz w:val="22"/>
          <w:szCs w:val="22"/>
        </w:rPr>
        <w:t xml:space="preserve">Poner en conocimiento del Directorio de SISOL SALUD el estado situacional, las condiciones financieras, la decisión técnica pendiente y las observaciones críticas del Proyecto GRAVE, a fin de que el Directorio cuente con los elementos de juicio necesarios para orientar la posición institucional de SISOL SALUD ante la Municipalidad Metropolitana de Lima.</w:t>
      </w:r>
    </w:p>
    <w:p>
      <w:pPr>
        <w:spacing w:after="120" w:before="240" w:line="276"/>
        <w:jc w:val="left"/>
      </w:pPr>
      <w:r>
        <w:rPr>
          <w:rFonts w:ascii="Arial" w:cs="Arial" w:eastAsia="Arial" w:hAnsi="Arial"/>
          <w:b/>
          <w:bCs/>
          <w:i w:val="false"/>
          <w:iCs w:val="false"/>
          <w:color w:val="000000"/>
          <w:sz w:val="22"/>
          <w:szCs w:val="22"/>
        </w:rPr>
        <w:t xml:space="preserve">III.	</w:t>
      </w:r>
      <w:r>
        <w:rPr>
          <w:rFonts w:ascii="Arial" w:cs="Arial" w:eastAsia="Arial" w:hAnsi="Arial"/>
          <w:b/>
          <w:bCs/>
          <w:i w:val="false"/>
          <w:iCs w:val="false"/>
          <w:color w:val="000000"/>
          <w:sz w:val="22"/>
          <w:szCs w:val="22"/>
          <w:u w:val="single"/>
        </w:rPr>
        <w:t xml:space="preserve">DESCRIPCIÓN DEL PROYECTO</w:t>
      </w:r>
    </w:p>
    <w:p>
      <w:pPr>
        <w:spacing w:after="80" w:before="120" w:line="276"/>
        <w:jc w:val="left"/>
      </w:pPr>
      <w:r>
        <w:rPr>
          <w:rFonts w:ascii="Arial" w:cs="Arial" w:eastAsia="Arial" w:hAnsi="Arial"/>
          <w:b/>
          <w:bCs/>
          <w:i w:val="false"/>
          <w:iCs w:val="false"/>
          <w:color w:val="000000"/>
          <w:sz w:val="22"/>
          <w:szCs w:val="22"/>
        </w:rPr>
        <w:t xml:space="preserve">3.1 Concepto operativo</w:t>
      </w:r>
    </w:p>
    <w:p>
      <w:pPr>
        <w:spacing w:after="160" w:before="0" w:line="276"/>
        <w:jc w:val="both"/>
      </w:pPr>
      <w:r>
        <w:rPr>
          <w:rFonts w:ascii="Arial" w:cs="Arial" w:eastAsia="Arial" w:hAnsi="Arial"/>
          <w:b w:val="false"/>
          <w:bCs w:val="false"/>
          <w:i w:val="false"/>
          <w:iCs w:val="false"/>
          <w:color w:val="000000"/>
          <w:sz w:val="22"/>
          <w:szCs w:val="22"/>
        </w:rPr>
        <w:t xml:space="preserve">El Proyecto GRAVE propone desplegar una flota de motos paramédicas equipadas (Honda XRE 300) conducidas por duplas TEM-Enfermero, bajo el modelo internacional dominante. Las unidades operan dentro de un radio de acción metropolitano, con tiempo de respuesta objetivo de 5 a 8 minutos, y realizan la estabilización inicial del paciente en escena, entregándolo con protocolo MIST a la unidad de traslado que se corresponsabilice.</w:t>
      </w:r>
    </w:p>
    <w:p>
      <w:pPr>
        <w:spacing w:after="80" w:before="120" w:line="276"/>
        <w:jc w:val="left"/>
      </w:pPr>
      <w:r>
        <w:rPr>
          <w:rFonts w:ascii="Arial" w:cs="Arial" w:eastAsia="Arial" w:hAnsi="Arial"/>
          <w:b/>
          <w:bCs/>
          <w:i w:val="false"/>
          <w:iCs w:val="false"/>
          <w:color w:val="000000"/>
          <w:sz w:val="22"/>
          <w:szCs w:val="22"/>
        </w:rPr>
        <w:t xml:space="preserve">3.2 Piloto propuesto</w:t>
      </w:r>
    </w:p>
    <w:p>
      <w:pPr>
        <w:spacing w:after="0" w:before="0" w:line="276"/>
        <w:jc w:val="both"/>
      </w:pPr>
      <w:r>
        <w:rPr>
          <w:rFonts w:ascii="Arial" w:cs="Arial" w:eastAsia="Arial" w:hAnsi="Arial"/>
          <w:b w:val="false"/>
          <w:bCs w:val="false"/>
          <w:i w:val="false"/>
          <w:iCs w:val="false"/>
          <w:color w:val="000000"/>
          <w:sz w:val="22"/>
          <w:szCs w:val="22"/>
        </w:rPr>
        <w:t xml:space="preserve"> </w:t>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Pr>
      <w:tblGrid>
        <w:gridCol w:w="100"/>
        <w:gridCol w:w="100"/>
      </w:tblGrid>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Unidades del piloto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33 motos paramédicas</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Vehículo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Honda XRE 300 con acondicionamiento médico</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Modelo de dotación</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Dupla TEM + Enfermero (tercerizado)</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Tiempo de respuesta objetivo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5 a 8 minutos</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Maletines por unidad</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5 bolsillos por color: A-rojo (DEA), B-naranja (trauma), C-azul (vía aérea), D-morado (anafilaxia), E-verde (monitoreo)</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Referentes internacionales</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Bogotá, Madrid, Buenos Aires, São Paulo</w:t>
            </w:r>
          </w:p>
        </w:tc>
      </w:tr>
    </w:tbl>
    <w:p>
      <w:pPr>
        <w:spacing w:after="0" w:before="0" w:line="276"/>
        <w:jc w:val="both"/>
      </w:pPr>
      <w:r>
        <w:rPr>
          <w:rFonts w:ascii="Arial" w:cs="Arial" w:eastAsia="Arial" w:hAnsi="Arial"/>
          <w:b w:val="false"/>
          <w:bCs w:val="false"/>
          <w:i w:val="false"/>
          <w:iCs w:val="false"/>
          <w:color w:val="000000"/>
          <w:sz w:val="22"/>
          <w:szCs w:val="22"/>
        </w:rPr>
        <w:t xml:space="preserve"> </w:t>
      </w:r>
    </w:p>
    <w:p>
      <w:pPr>
        <w:spacing w:after="120" w:before="240" w:line="276"/>
        <w:jc w:val="left"/>
      </w:pPr>
      <w:r>
        <w:rPr>
          <w:rFonts w:ascii="Arial" w:cs="Arial" w:eastAsia="Arial" w:hAnsi="Arial"/>
          <w:b/>
          <w:bCs/>
          <w:i w:val="false"/>
          <w:iCs w:val="false"/>
          <w:color w:val="000000"/>
          <w:sz w:val="22"/>
          <w:szCs w:val="22"/>
        </w:rPr>
        <w:t xml:space="preserve">IV.	</w:t>
      </w:r>
      <w:r>
        <w:rPr>
          <w:rFonts w:ascii="Arial" w:cs="Arial" w:eastAsia="Arial" w:hAnsi="Arial"/>
          <w:b/>
          <w:bCs/>
          <w:i w:val="false"/>
          <w:iCs w:val="false"/>
          <w:color w:val="000000"/>
          <w:sz w:val="22"/>
          <w:szCs w:val="22"/>
          <w:u w:val="single"/>
        </w:rPr>
        <w:t xml:space="preserve">ESTADO SITUACIONAL</w:t>
      </w:r>
    </w:p>
    <w:p>
      <w:pPr>
        <w:spacing w:after="120" w:before="0" w:line="276"/>
        <w:jc w:val="both"/>
      </w:pPr>
      <w:r>
        <w:rPr>
          <w:rFonts w:ascii="Arial" w:cs="Arial" w:eastAsia="Arial" w:hAnsi="Arial"/>
          <w:b w:val="false"/>
          <w:bCs w:val="false"/>
          <w:i w:val="false"/>
          <w:iCs w:val="false"/>
          <w:color w:val="000000"/>
          <w:sz w:val="22"/>
          <w:szCs w:val="22"/>
        </w:rPr>
        <w:t xml:space="preserve">A la fecha del presente informe, el Proyecto GRAVE se encuentra en fase de evaluación institucional. Los hitos cumplidos y las acciones pendientes son los siguientes:</w:t>
      </w:r>
    </w:p>
    <w:p>
      <w:pPr>
        <w:spacing w:after="0" w:before="0" w:line="276"/>
        <w:jc w:val="both"/>
      </w:pPr>
      <w:r>
        <w:rPr>
          <w:rFonts w:ascii="Arial" w:cs="Arial" w:eastAsia="Arial" w:hAnsi="Arial"/>
          <w:b w:val="false"/>
          <w:bCs w:val="false"/>
          <w:i w:val="false"/>
          <w:iCs w:val="false"/>
          <w:color w:val="000000"/>
          <w:sz w:val="22"/>
          <w:szCs w:val="22"/>
        </w:rPr>
        <w:t xml:space="preserve"> </w:t>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Pr>
      <w:tblGrid>
        <w:gridCol w:w="100"/>
        <w:gridCol w:w="100"/>
      </w:tblGrid>
      <w:tr>
        <w:tc>
          <w:tcPr>
            <w:tcW w:type="dxa" w:w="3000"/>
            <w:shd w:fill="4472C4"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HITO / ACCIÓN</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ESTADO</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Documentación técnica elaborada (presentación, costeo, maletines)</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Completado — mayo 2026</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Presentación ante autoridades SISOL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Completado — mayo 2026</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Coordinación inicial con la MML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En curso</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Definición del modelo operativo (A o B)</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PENDIENTE — decisión institucional requerida</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Acuerdo de cofinanciamiento con la MML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PENDIENTE — crítico para viabilidad</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Convocatoria y contratación del servicio tercerizado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No iniciado — depende de decisión operativa</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Inicio de operaciones del piloto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No iniciado — sujeto a financiamiento aprobado</w:t>
            </w:r>
          </w:p>
        </w:tc>
      </w:tr>
    </w:tbl>
    <w:p>
      <w:pPr>
        <w:spacing w:after="0" w:before="0" w:line="276"/>
        <w:jc w:val="both"/>
      </w:pPr>
      <w:r>
        <w:rPr>
          <w:rFonts w:ascii="Arial" w:cs="Arial" w:eastAsia="Arial" w:hAnsi="Arial"/>
          <w:b w:val="false"/>
          <w:bCs w:val="false"/>
          <w:i w:val="false"/>
          <w:iCs w:val="false"/>
          <w:color w:val="000000"/>
          <w:sz w:val="22"/>
          <w:szCs w:val="22"/>
        </w:rPr>
        <w:t xml:space="preserve"> </w:t>
      </w:r>
    </w:p>
    <w:p>
      <w:pPr>
        <w:spacing w:after="120" w:before="240" w:line="276"/>
        <w:jc w:val="left"/>
      </w:pPr>
      <w:r>
        <w:rPr>
          <w:rFonts w:ascii="Arial" w:cs="Arial" w:eastAsia="Arial" w:hAnsi="Arial"/>
          <w:b/>
          <w:bCs/>
          <w:i w:val="false"/>
          <w:iCs w:val="false"/>
          <w:color w:val="000000"/>
          <w:sz w:val="22"/>
          <w:szCs w:val="22"/>
        </w:rPr>
        <w:t xml:space="preserve">V.	</w:t>
      </w:r>
      <w:r>
        <w:rPr>
          <w:rFonts w:ascii="Arial" w:cs="Arial" w:eastAsia="Arial" w:hAnsi="Arial"/>
          <w:b/>
          <w:bCs/>
          <w:i w:val="false"/>
          <w:iCs w:val="false"/>
          <w:color w:val="000000"/>
          <w:sz w:val="22"/>
          <w:szCs w:val="22"/>
          <w:u w:val="single"/>
        </w:rPr>
        <w:t xml:space="preserve">ANÁLISIS FINANCIERO</w:t>
      </w:r>
    </w:p>
    <w:p>
      <w:pPr>
        <w:spacing w:after="80" w:before="120" w:line="276"/>
        <w:jc w:val="left"/>
      </w:pPr>
      <w:r>
        <w:rPr>
          <w:rFonts w:ascii="Arial" w:cs="Arial" w:eastAsia="Arial" w:hAnsi="Arial"/>
          <w:b/>
          <w:bCs/>
          <w:i w:val="false"/>
          <w:iCs w:val="false"/>
          <w:color w:val="000000"/>
          <w:sz w:val="22"/>
          <w:szCs w:val="22"/>
        </w:rPr>
        <w:t xml:space="preserve">5.1 Estructura de costos del piloto</w:t>
      </w:r>
    </w:p>
    <w:p>
      <w:pPr>
        <w:spacing w:after="0" w:before="0" w:line="276"/>
        <w:jc w:val="both"/>
      </w:pPr>
      <w:r>
        <w:rPr>
          <w:rFonts w:ascii="Arial" w:cs="Arial" w:eastAsia="Arial" w:hAnsi="Arial"/>
          <w:b w:val="false"/>
          <w:bCs w:val="false"/>
          <w:i w:val="false"/>
          <w:iCs w:val="false"/>
          <w:color w:val="000000"/>
          <w:sz w:val="22"/>
          <w:szCs w:val="22"/>
        </w:rPr>
        <w:t xml:space="preserve"> </w:t>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Pr>
      <w:tblGrid>
        <w:gridCol w:w="100"/>
        <w:gridCol w:w="100"/>
      </w:tblGrid>
      <w:tr>
        <w:tc>
          <w:tcPr>
            <w:tcW w:type="dxa" w:w="3000"/>
            <w:shd w:fill="4472C4"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CONCEPTO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MONTO (S/)</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Inversión inicial — una sola vez</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Aporte MML: 33 motos equipadas (S/ 35,600 c/u)</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1,174,800</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Aporte SISOL: maletines médicos (33 sets)</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396,000</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Aporte SISOL: software CAD + central de despacho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70,000</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  INVERSIÓN INICIAL TOTAL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S/    1,640,800</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Gasto recurrente mensual (operación completa)</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Personal tercerizado (198 personas)</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626,604</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Insumos, combustible, mantenimiento</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96,360</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  Central de despacho (operadores + servicios)</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12,139</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  TOTAL MENSUAL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S/       735,103</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  TOTAL OPERACIÓN 12 MESES (SISOL)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S/    8,821,236</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TOTAL AÑO 1 (inversión + operación)</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S/  10,462,036</w:t>
            </w:r>
          </w:p>
        </w:tc>
      </w:tr>
    </w:tbl>
    <w:p>
      <w:pPr>
        <w:spacing w:after="0" w:before="0" w:line="276"/>
        <w:jc w:val="both"/>
      </w:pPr>
      <w:r>
        <w:rPr>
          <w:rFonts w:ascii="Arial" w:cs="Arial" w:eastAsia="Arial" w:hAnsi="Arial"/>
          <w:b w:val="false"/>
          <w:bCs w:val="false"/>
          <w:i w:val="false"/>
          <w:iCs w:val="false"/>
          <w:color w:val="000000"/>
          <w:sz w:val="22"/>
          <w:szCs w:val="22"/>
        </w:rPr>
        <w:t xml:space="preserve"> </w:t>
      </w:r>
    </w:p>
    <w:p>
      <w:pPr>
        <w:spacing w:after="80" w:before="120" w:line="276"/>
        <w:jc w:val="left"/>
      </w:pPr>
      <w:r>
        <w:rPr>
          <w:rFonts w:ascii="Arial" w:cs="Arial" w:eastAsia="Arial" w:hAnsi="Arial"/>
          <w:b/>
          <w:bCs/>
          <w:i w:val="false"/>
          <w:iCs w:val="false"/>
          <w:color w:val="000000"/>
          <w:sz w:val="22"/>
          <w:szCs w:val="22"/>
        </w:rPr>
        <w:t xml:space="preserve">5.2 Distribución del esfuerzo financiero</w:t>
      </w:r>
    </w:p>
    <w:p>
      <w:pPr>
        <w:spacing w:after="0" w:before="0" w:line="276"/>
        <w:jc w:val="both"/>
      </w:pPr>
      <w:r>
        <w:rPr>
          <w:rFonts w:ascii="Arial" w:cs="Arial" w:eastAsia="Arial" w:hAnsi="Arial"/>
          <w:b w:val="false"/>
          <w:bCs w:val="false"/>
          <w:i w:val="false"/>
          <w:iCs w:val="false"/>
          <w:color w:val="000000"/>
          <w:sz w:val="22"/>
          <w:szCs w:val="22"/>
        </w:rPr>
        <w:t xml:space="preserve"> </w:t>
      </w:r>
    </w:p>
    <w:tbl>
      <w:tblPr>
        <w:tblW w:type="dxa" w:w="8500"/>
        <w:tblBorders>
          <w:top w:val="single" w:color="4472C4" w:sz="4"/>
          <w:left w:val="single" w:color="4472C4" w:sz="4"/>
          <w:bottom w:val="single" w:color="4472C4" w:sz="4"/>
          <w:right w:val="single" w:color="4472C4" w:sz="4"/>
          <w:insideH w:val="single" w:color="auto" w:sz="4"/>
          <w:insideV w:val="single" w:color="auto" w:sz="4"/>
        </w:tblBorders>
      </w:tblPr>
      <w:tblGrid>
        <w:gridCol w:w="100"/>
        <w:gridCol w:w="100"/>
      </w:tblGrid>
      <w:tr>
        <w:tc>
          <w:tcPr>
            <w:tcW w:type="dxa" w:w="3000"/>
            <w:shd w:fill="4472C4" w:val="clear"/>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INSTITUCIÓN</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APORTE AÑO 1</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Municipalidad Metropolitana de Lima (MML)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1,174,800  →  11.2 % del total</w:t>
            </w:r>
          </w:p>
        </w:tc>
      </w:tr>
      <w:tr>
        <w:tc>
          <w:tcPr>
            <w:tcW w:type="dxa" w:w="30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SISOL SALUD</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S/ 9,287,236  →  88.8 % del total</w:t>
            </w:r>
          </w:p>
        </w:tc>
      </w:tr>
      <w:tr>
        <w:tc>
          <w:tcPr>
            <w:tcW w:type="dxa" w:w="3000"/>
            <w:shd w:fill="EBF3FB" w:val="clear"/>
            <w:tcMar>
              <w:top w:type="dxa" w:w="60"/>
              <w:left w:type="dxa" w:w="100"/>
              <w:bottom w:type="dxa" w:w="60"/>
              <w:right w:type="dxa" w:w="100"/>
            </w:tcMar>
            <w:vAlign w:val="center"/>
          </w:tcPr>
          <w:p>
            <w:pPr>
              <w:spacing w:after="40" w:before="40"/>
              <w:jc w:val="left"/>
            </w:pPr>
            <w:r>
              <w:rPr>
                <w:rFonts w:ascii="Arial" w:cs="Arial" w:eastAsia="Arial" w:hAnsi="Arial"/>
                <w:b w:val="false"/>
                <w:bCs w:val="false"/>
                <w:i w:val="false"/>
                <w:iCs w:val="false"/>
                <w:color w:val="000000"/>
                <w:sz w:val="22"/>
                <w:szCs w:val="22"/>
              </w:rPr>
              <w:t xml:space="preserve">Ratio MML/SISOL</w:t>
            </w:r>
          </w:p>
        </w:tc>
        <w:tc>
          <w:tcPr>
            <w:tcW w:type="dxa" w:w="5500"/>
            <w:tcMar>
              <w:top w:type="dxa" w:w="60"/>
              <w:left w:type="dxa" w:w="100"/>
              <w:bottom w:type="dxa" w:w="60"/>
              <w:right w:type="dxa" w:w="100"/>
            </w:tcMar>
            <w:vAlign w:val="center"/>
          </w:tcPr>
          <w:p>
            <w:pPr>
              <w:spacing w:after="40" w:before="40"/>
              <w:jc w:val="left"/>
            </w:pPr>
            <w:r>
              <w:rPr>
                <w:rFonts w:ascii="Arial" w:cs="Arial" w:eastAsia="Arial" w:hAnsi="Arial"/>
                <w:b/>
                <w:bCs/>
                <w:i w:val="false"/>
                <w:iCs w:val="false"/>
                <w:color w:val="000000"/>
                <w:sz w:val="22"/>
                <w:szCs w:val="22"/>
              </w:rPr>
              <w:t xml:space="preserve">Por cada S/ 1.00 de la MML, SISOL aporta S/ 7.91</w:t>
            </w:r>
          </w:p>
        </w:tc>
      </w:tr>
    </w:tbl>
    <w:p>
      <w:pPr>
        <w:spacing w:after="0" w:before="0" w:line="276"/>
        <w:jc w:val="both"/>
      </w:pPr>
      <w:r>
        <w:rPr>
          <w:rFonts w:ascii="Arial" w:cs="Arial" w:eastAsia="Arial" w:hAnsi="Arial"/>
          <w:b w:val="false"/>
          <w:bCs w:val="false"/>
          <w:i w:val="false"/>
          <w:iCs w:val="false"/>
          <w:color w:val="000000"/>
          <w:sz w:val="22"/>
          <w:szCs w:val="22"/>
        </w:rPr>
        <w:t xml:space="preserve"> </w:t>
      </w:r>
    </w:p>
    <w:p>
      <w:pPr>
        <w:spacing w:after="120" w:before="240" w:line="276"/>
        <w:jc w:val="left"/>
      </w:pPr>
      <w:r>
        <w:rPr>
          <w:rFonts w:ascii="Arial" w:cs="Arial" w:eastAsia="Arial" w:hAnsi="Arial"/>
          <w:b/>
          <w:bCs/>
          <w:i w:val="false"/>
          <w:iCs w:val="false"/>
          <w:color w:val="000000"/>
          <w:sz w:val="22"/>
          <w:szCs w:val="22"/>
        </w:rPr>
        <w:t xml:space="preserve">VI.	</w:t>
      </w:r>
      <w:r>
        <w:rPr>
          <w:rFonts w:ascii="Arial" w:cs="Arial" w:eastAsia="Arial" w:hAnsi="Arial"/>
          <w:b/>
          <w:bCs/>
          <w:i w:val="false"/>
          <w:iCs w:val="false"/>
          <w:color w:val="000000"/>
          <w:sz w:val="22"/>
          <w:szCs w:val="22"/>
          <w:u w:val="single"/>
        </w:rPr>
        <w:t xml:space="preserve">DECISIÓN TÉCNICA PENDIENTE: MODELO OPERATIVO</w:t>
      </w:r>
    </w:p>
    <w:p>
      <w:pPr>
        <w:spacing w:after="120" w:before="0" w:line="276"/>
        <w:jc w:val="both"/>
      </w:pPr>
      <w:r>
        <w:rPr>
          <w:rFonts w:ascii="Arial" w:cs="Arial" w:eastAsia="Arial" w:hAnsi="Arial"/>
          <w:b w:val="false"/>
          <w:bCs w:val="false"/>
          <w:i w:val="false"/>
          <w:iCs w:val="false"/>
          <w:color w:val="000000"/>
          <w:sz w:val="22"/>
          <w:szCs w:val="22"/>
        </w:rPr>
        <w:t xml:space="preserve">Antes de la próxima reunión técnica con la MML, SISOL SALUD debe definir su posición institucional respecto al modelo operativo del proyecto. Se han planteado dos alternativas:</w:t>
      </w:r>
    </w:p>
    <w:p>
      <w:pPr>
        <w:spacing w:after="60" w:before="120" w:line="276"/>
        <w:jc w:val="left"/>
      </w:pPr>
      <w:r>
        <w:rPr>
          <w:rFonts w:ascii="Arial" w:cs="Arial" w:eastAsia="Arial" w:hAnsi="Arial"/>
          <w:b/>
          <w:bCs/>
          <w:i/>
          <w:iCs/>
          <w:color w:val="000000"/>
          <w:sz w:val="22"/>
          <w:szCs w:val="22"/>
        </w:rPr>
        <w:t xml:space="preserve">Propuesta A — Integración al SAMU del MINSA</w:t>
      </w:r>
    </w:p>
    <w:p>
      <w:pPr>
        <w:spacing w:after="160" w:before="0" w:line="276"/>
        <w:jc w:val="both"/>
      </w:pPr>
      <w:r>
        <w:rPr>
          <w:rFonts w:ascii="Arial" w:cs="Arial" w:eastAsia="Arial" w:hAnsi="Arial"/>
          <w:b w:val="false"/>
          <w:bCs w:val="false"/>
          <w:i w:val="false"/>
          <w:iCs w:val="false"/>
          <w:color w:val="000000"/>
          <w:sz w:val="22"/>
          <w:szCs w:val="22"/>
        </w:rPr>
        <w:t xml:space="preserve">Las motos GRAVE se incorporan al Sistema de Atención Móvil de Urgencias del MINSA. La línea única ciudadana es el 106. El SAMU despacha, SISOL opera y la MML financia el equipamiento. Ventaja principal: aprovecha la infraestructura nacional y evita duplicar la central. Riesgo: la identidad institucional GRAVE queda diluida bajo la marca SAMU-MINSA, reduciendo el posicionamiento de SISOL y la MML ante la ciudadanía.</w:t>
      </w:r>
    </w:p>
    <w:p>
      <w:pPr>
        <w:spacing w:after="60" w:before="120" w:line="276"/>
        <w:jc w:val="left"/>
      </w:pPr>
      <w:r>
        <w:rPr>
          <w:rFonts w:ascii="Arial" w:cs="Arial" w:eastAsia="Arial" w:hAnsi="Arial"/>
          <w:b/>
          <w:bCs/>
          <w:i/>
          <w:iCs/>
          <w:color w:val="000000"/>
          <w:sz w:val="22"/>
          <w:szCs w:val="22"/>
        </w:rPr>
        <w:t xml:space="preserve">Propuesta B — Central GRAVE propia en sede SISOL</w:t>
      </w:r>
    </w:p>
    <w:p>
      <w:pPr>
        <w:spacing w:after="0" w:before="0" w:line="276"/>
        <w:jc w:val="both"/>
      </w:pPr>
      <w:r>
        <w:rPr>
          <w:rFonts w:ascii="Arial" w:cs="Arial" w:eastAsia="Arial" w:hAnsi="Arial"/>
          <w:b w:val="false"/>
          <w:bCs w:val="false"/>
          <w:i w:val="false"/>
          <w:iCs w:val="false"/>
          <w:color w:val="000000"/>
          <w:sz w:val="22"/>
          <w:szCs w:val="22"/>
        </w:rPr>
        <w:t xml:space="preserve">SISOL opera su propia central de despacho con personal tercerizado. La identidad GRAVE y el branding MML-SISOL se mantienen íntegros. Mayor control operativo y mayor impacto en imagen institucional. Requiere inversión adicional en el software CAD y en la dotación de operadores (S/ 70,000 inicial + S/ 145,668 anuales para la central).</w:t>
      </w:r>
    </w:p>
    <w:p>
      <w:pPr>
        <w:spacing w:after="120" w:before="240" w:line="276"/>
        <w:jc w:val="left"/>
      </w:pPr>
      <w:r>
        <w:rPr>
          <w:rFonts w:ascii="Arial" w:cs="Arial" w:eastAsia="Arial" w:hAnsi="Arial"/>
          <w:b/>
          <w:bCs/>
          <w:i w:val="false"/>
          <w:iCs w:val="false"/>
          <w:color w:val="000000"/>
          <w:sz w:val="22"/>
          <w:szCs w:val="22"/>
        </w:rPr>
        <w:t xml:space="preserve">VII.	</w:t>
      </w:r>
      <w:r>
        <w:rPr>
          <w:rFonts w:ascii="Arial" w:cs="Arial" w:eastAsia="Arial" w:hAnsi="Arial"/>
          <w:b/>
          <w:bCs/>
          <w:i w:val="false"/>
          <w:iCs w:val="false"/>
          <w:color w:val="000000"/>
          <w:sz w:val="22"/>
          <w:szCs w:val="22"/>
          <w:u w:val="single"/>
        </w:rPr>
        <w:t xml:space="preserve">OBSERVACIONES CRÍTICAS</w:t>
      </w:r>
    </w:p>
    <w:p>
      <w:pPr>
        <w:spacing w:after="160" w:before="0" w:line="276"/>
        <w:jc w:val="both"/>
      </w:pPr>
      <w:r>
        <w:rPr>
          <w:rFonts w:ascii="Arial" w:cs="Arial" w:eastAsia="Arial" w:hAnsi="Arial"/>
          <w:b w:val="false"/>
          <w:bCs w:val="false"/>
          <w:i w:val="false"/>
          <w:iCs w:val="false"/>
          <w:color w:val="000000"/>
          <w:sz w:val="22"/>
          <w:szCs w:val="22"/>
        </w:rPr>
        <w:t xml:space="preserve">1. Desequilibrio financiero estructural. El esquema actual carga el 88.8 % del costo anual sobre SISOL SALUD (S/ 9,287,236) frente al 11.2 % que asume la MML (S/ 1,174,800 en equipamiento, aporte no recurrente). Sin un acuerdo de cofinanciamiento de la operación recurrente por parte de la MML o una transferencia presupuestal explícita, el piloto no es financieramente sostenible para la red SISOL en el mediano plazo.</w:t>
      </w:r>
    </w:p>
    <w:p>
      <w:pPr>
        <w:spacing w:after="160" w:before="0" w:line="276"/>
        <w:jc w:val="both"/>
      </w:pPr>
      <w:r>
        <w:rPr>
          <w:rFonts w:ascii="Arial" w:cs="Arial" w:eastAsia="Arial" w:hAnsi="Arial"/>
          <w:b w:val="false"/>
          <w:bCs w:val="false"/>
          <w:i w:val="false"/>
          <w:iCs w:val="false"/>
          <w:color w:val="000000"/>
          <w:sz w:val="22"/>
          <w:szCs w:val="22"/>
        </w:rPr>
        <w:t xml:space="preserve">2. Decisión operativa como condición habilitante. La elección entre la Propuesta A (SAMU) y la Propuesta B (central propia) determina la estructura de costos final, los convenios interinstitucionales requeridos y el cronograma de implementación. No es posible avanzar en la contratación del servicio tercerizado ni en la adquisición de equipamiento sin esta definición previa.</w:t>
      </w:r>
    </w:p>
    <w:p>
      <w:pPr>
        <w:spacing w:after="0" w:before="0" w:line="276"/>
        <w:jc w:val="both"/>
      </w:pPr>
      <w:r>
        <w:rPr>
          <w:rFonts w:ascii="Arial" w:cs="Arial" w:eastAsia="Arial" w:hAnsi="Arial"/>
          <w:b w:val="false"/>
          <w:bCs w:val="false"/>
          <w:i w:val="false"/>
          <w:iCs w:val="false"/>
          <w:color w:val="000000"/>
          <w:sz w:val="22"/>
          <w:szCs w:val="22"/>
        </w:rPr>
        <w:t xml:space="preserve">3. Riesgo reputacional. Un inicio de operaciones con déficit de financiamiento o sin protocolos de articulación con SAMU/EsSalud formalizados puede derivar en incidentes operativos de alto impacto mediático. Se recomienda no iniciar operaciones sin los convenios vigentes.</w:t>
      </w:r>
    </w:p>
    <w:p>
      <w:pPr>
        <w:spacing w:after="120" w:before="240" w:line="276"/>
        <w:jc w:val="left"/>
      </w:pPr>
      <w:r>
        <w:rPr>
          <w:rFonts w:ascii="Arial" w:cs="Arial" w:eastAsia="Arial" w:hAnsi="Arial"/>
          <w:b/>
          <w:bCs/>
          <w:i w:val="false"/>
          <w:iCs w:val="false"/>
          <w:color w:val="000000"/>
          <w:sz w:val="22"/>
          <w:szCs w:val="22"/>
        </w:rPr>
        <w:t xml:space="preserve">VIII.	</w:t>
      </w:r>
      <w:r>
        <w:rPr>
          <w:rFonts w:ascii="Arial" w:cs="Arial" w:eastAsia="Arial" w:hAnsi="Arial"/>
          <w:b/>
          <w:bCs/>
          <w:i w:val="false"/>
          <w:iCs w:val="false"/>
          <w:color w:val="000000"/>
          <w:sz w:val="22"/>
          <w:szCs w:val="22"/>
          <w:u w:val="single"/>
        </w:rPr>
        <w:t xml:space="preserve">CONCLUSIONES Y RECOMENDACIONES</w:t>
      </w:r>
    </w:p>
    <w:p>
      <w:pPr>
        <w:spacing w:after="160" w:before="0" w:line="276"/>
        <w:jc w:val="both"/>
      </w:pPr>
      <w:r>
        <w:rPr>
          <w:rFonts w:ascii="Arial" w:cs="Arial" w:eastAsia="Arial" w:hAnsi="Arial"/>
          <w:b w:val="false"/>
          <w:bCs w:val="false"/>
          <w:i w:val="false"/>
          <w:iCs w:val="false"/>
          <w:color w:val="000000"/>
          <w:sz w:val="22"/>
          <w:szCs w:val="22"/>
        </w:rPr>
        <w:t xml:space="preserve">El Proyecto GRAVE representa una iniciativa de alto valor social e institucional, respaldada por experiencias internacionales exitosas. Sin embargo, en su configuración actual presenta un desequilibrio financiero que pone en riesgo su sostenibilidad si SISOL SALUD no obtiene compromisos concretos de cofinanciamiento por parte de la MML.</w:t>
      </w:r>
    </w:p>
    <w:p>
      <w:pPr>
        <w:spacing w:after="120" w:before="0" w:line="276"/>
        <w:jc w:val="both"/>
      </w:pPr>
      <w:r>
        <w:rPr>
          <w:rFonts w:ascii="Arial" w:cs="Arial" w:eastAsia="Arial" w:hAnsi="Arial"/>
          <w:b w:val="false"/>
          <w:bCs w:val="false"/>
          <w:i w:val="false"/>
          <w:iCs w:val="false"/>
          <w:color w:val="000000"/>
          <w:sz w:val="22"/>
          <w:szCs w:val="22"/>
        </w:rPr>
        <w:t xml:space="preserve">Se recomienda al Directorio adoptar las siguientes acciones:</w:t>
      </w:r>
    </w:p>
    <w:p>
      <w:pPr>
        <w:spacing w:after="80" w:before="60" w:line="276"/>
        <w:ind w:left="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Solicitar a la MML un acuerdo formal de cofinanciamiento de la operación recurrente (mínimo 50 % del gasto mensual, S/ 367,551/mes), como condición previa para continuar el proceso.</w:t>
      </w:r>
    </w:p>
    <w:p>
      <w:pPr>
        <w:spacing w:after="80" w:before="0" w:line="276"/>
        <w:ind w:left="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Definir en sesión de Directorio la posición institucional respecto al modelo operativo (Propuesta A — SAMU o Propuesta B — central propia), para trasladarla formalmente a la MML en la próxima reunión técnica.</w:t>
      </w:r>
    </w:p>
    <w:p>
      <w:pPr>
        <w:spacing w:after="80" w:before="0" w:line="276"/>
        <w:ind w:left="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Encargar a la Gerencia de Servicios de Salud, en coordinación con la Gerencia de Administración y Finanzas, la elaboración de un análisis de impacto presupuestal que cuantifique la capacidad real de absorción de SISOL frente a los distintos escenarios de cofinanciamiento.</w:t>
      </w:r>
    </w:p>
    <w:p>
      <w:pPr>
        <w:spacing w:after="240" w:before="0" w:line="276"/>
        <w:ind w:left="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No iniciar etapas de implementación (contratación, equipamiento) sin que los convenios interinstitucionales con la MML, el MINSA-SAMU y EsSalud estén formalizados.</w:t>
      </w:r>
    </w:p>
    <w:p>
      <w:pPr>
        <w:spacing w:after="400" w:before="0" w:line="276"/>
        <w:jc w:val="both"/>
      </w:pPr>
      <w:r>
        <w:rPr>
          <w:rFonts w:ascii="Arial" w:cs="Arial" w:eastAsia="Arial" w:hAnsi="Arial"/>
          <w:b w:val="false"/>
          <w:bCs w:val="false"/>
          <w:i w:val="false"/>
          <w:iCs w:val="false"/>
          <w:color w:val="000000"/>
          <w:sz w:val="22"/>
          <w:szCs w:val="22"/>
        </w:rPr>
        <w:t xml:space="preserve">Es cuanto informo al Directorio para los fines pertinentes.</w:t>
      </w:r>
    </w:p>
    <w:p>
      <w:pPr>
        <w:spacing w:after="400" w:before="0" w:line="276"/>
        <w:jc w:val="center"/>
      </w:pPr>
      <w:r>
        <w:rPr>
          <w:rFonts w:ascii="Arial" w:cs="Arial" w:eastAsia="Arial" w:hAnsi="Arial"/>
          <w:b w:val="false"/>
          <w:bCs w:val="false"/>
          <w:i w:val="false"/>
          <w:iCs w:val="false"/>
          <w:color w:val="000000"/>
          <w:sz w:val="22"/>
          <w:szCs w:val="22"/>
        </w:rPr>
        <w:t xml:space="preserve">Lima, 24 de junio de 2026</w:t>
      </w:r>
    </w:p>
    <w:p>
      <w:pPr>
        <w:spacing w:after="40" w:before="0" w:line="276"/>
        <w:jc w:val="center"/>
      </w:pPr>
      <w:r>
        <w:rPr>
          <w:rFonts w:ascii="Arial" w:cs="Arial" w:eastAsia="Arial" w:hAnsi="Arial"/>
          <w:b w:val="false"/>
          <w:bCs w:val="false"/>
          <w:i w:val="false"/>
          <w:iCs w:val="false"/>
          <w:color w:val="000000"/>
          <w:sz w:val="22"/>
          <w:szCs w:val="22"/>
        </w:rPr>
        <w:t xml:space="preserve">_______________________________________</w:t>
      </w:r>
    </w:p>
    <w:p>
      <w:pPr>
        <w:spacing w:after="40" w:before="0" w:line="276"/>
        <w:jc w:val="center"/>
      </w:pPr>
      <w:r>
        <w:rPr>
          <w:rFonts w:ascii="Arial" w:cs="Arial" w:eastAsia="Arial" w:hAnsi="Arial"/>
          <w:b/>
          <w:bCs/>
          <w:i w:val="false"/>
          <w:iCs w:val="false"/>
          <w:color w:val="000000"/>
          <w:sz w:val="22"/>
          <w:szCs w:val="22"/>
        </w:rPr>
        <w:t xml:space="preserve">Gerencia de Servicios de Salud</w:t>
      </w:r>
    </w:p>
    <w:p>
      <w:pPr>
        <w:spacing w:after="0" w:before="0" w:line="276"/>
        <w:jc w:val="center"/>
      </w:pPr>
      <w:r>
        <w:rPr>
          <w:rFonts w:ascii="Arial" w:cs="Arial" w:eastAsia="Arial" w:hAnsi="Arial"/>
          <w:b w:val="false"/>
          <w:bCs w:val="false"/>
          <w:i w:val="false"/>
          <w:iCs w:val="false"/>
          <w:color w:val="000000"/>
          <w:sz w:val="22"/>
          <w:szCs w:val="22"/>
        </w:rPr>
        <w:t xml:space="preserve">SISOL SALUD</w:t>
      </w:r>
    </w:p>
    <w:sectPr>
      <w:headerReference w:type="default" r:id="rId7"/>
      <w:footerReference w:type="default" r:id="rId8"/>
      <w:pgSz w:w="11906" w:h="16838" w:orient="portrait"/>
      <w:pgMar w:top="1701" w:right="1418" w:bottom="1701" w:left="198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drawing>
        <wp:inline distT="0" distB="0" distL="0" distR="0">
          <wp:extent cx="4953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9144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504" w:type="dxa"/>
      <w:tblBorders>
        <w:top w:val="nil"/>
        <w:left w:val="nil"/>
        <w:bottom w:val="nil"/>
        <w:right w:val="nil"/>
        <w:insideH w:val="nil"/>
        <w:insideV w:val="nil"/>
      </w:tblBorders>
      <w:tblLook w:val="0000" w:firstRow="0" w:lastRow="0" w:firstColumn="0" w:lastColumn="0" w:noHBand="0" w:noVBand="0"/>
    </w:tblPr>
    <w:tblGrid>
      <w:gridCol w:w="2400"/>
      <w:gridCol w:w="3704"/>
      <w:gridCol w:w="2400"/>
    </w:tblGrid>
    <w:tr>
      <w:trPr>
        <w:trHeight w:val="680"/>
      </w:trPr>
      <w:tc>
        <w:tcPr>
          <w:tcW w:w="2400" w:type="dxa"/>
          <w:tcBorders>
            <w:top w:val="nil"/>
            <w:left w:val="nil"/>
            <w:bottom w:val="nil"/>
            <w:right w:val="nil"/>
          </w:tcBorders>
          <w:vAlign w:val="center"/>
        </w:tcPr>
        <w:p>
          <w:pPr>
            <w:jc w:val="left"/>
            <w:spacing w:before="0" w:after="0"/>
          </w:pPr>
          <w:r>
            <w:rPr/>
            <w:drawing>
              <wp:inline distT="0" distB="0" distL="0" distR="0">
                <wp:extent cx="1409700" cy="428625"/>
                <wp:effectExtent l="0" t="0" r="0" b="0"/>
                <wp:docPr id="1" name="Logo_M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MML"/>
                        <pic:cNvPicPr/>
                      </pic:nvPicPr>
                      <pic:blipFill>
                        <a:blip r:embed="rId0"/>
                        <a:stretch>
                          <a:fillRect/>
                        </a:stretch>
                      </pic:blipFill>
                      <pic:spPr>
                        <a:xfrm>
                          <a:off x="0" y="0"/>
                          <a:ext cx="1409700" cy="428625"/>
                        </a:xfrm>
                        <a:prstGeom prst="rect">
                          <a:avLst/>
                        </a:prstGeom>
                      </pic:spPr>
                    </pic:pic>
                  </a:graphicData>
                </a:graphic>
              </wp:inline>
            </w:drawing>
          </w:r>
        </w:p>
      </w:tc>
      <w:tc>
        <w:tcPr>
          <w:tcW w:w="3704" w:type="dxa"/>
          <w:tcBorders>
            <w:top w:val="nil"/>
            <w:left w:val="nil"/>
            <w:bottom w:val="nil"/>
            <w:right w:val="nil"/>
          </w:tcBorders>
          <w:vAlign w:val="center"/>
        </w:tcPr>
        <w:p>
          <w:pPr>
            <w:jc w:val="center"/>
            <w:spacing w:before="0" w:after="0"/>
          </w:pPr>
          <w:r>
            <w:rPr>
              <w:rFonts w:ascii="Arial" w:hAnsi="Arial"/>
              <w:b/>
              <w:sz w:val="14"/>
              <w:szCs w:val="14"/>
              <w:color w:val="000000"/>
            </w:rPr>
            <w:t xml:space="preserve">"Año de la Esperanza y el Fortalecimiento de la Democracia"</w:t>
          </w:r>
        </w:p>
      </w:tc>
      <w:tc>
        <w:tcPr>
          <w:tcW w:w="2400" w:type="dxa"/>
          <w:tcBorders>
            <w:top w:val="nil"/>
            <w:left w:val="nil"/>
            <w:bottom w:val="nil"/>
            <w:right w:val="nil"/>
          </w:tcBorders>
          <w:vAlign w:val="center"/>
        </w:tcPr>
        <w:p>
          <w:pPr>
            <w:jc w:val="right"/>
            <w:spacing w:before="0" w:after="0"/>
          </w:pPr>
          <w:r>
            <w:rPr/>
            <w:drawing>
              <wp:inline distT="0" distB="0" distL="0" distR="0">
                <wp:extent cx="1476375" cy="352425"/>
                <wp:effectExtent l="0" t="0" r="0" b="0"/>
                <wp:docPr id="2" name="Logo_Hos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Hospital"/>
                        <pic:cNvPicPr/>
                      </pic:nvPicPr>
                      <pic:blipFill>
                        <a:blip r:embed="rId1"/>
                        <a:stretch>
                          <a:fillRect/>
                        </a:stretch>
                      </pic:blipFill>
                      <pic:spPr>
                        <a:xfrm>
                          <a:off x="0" y="0"/>
                          <a:ext cx="1476375" cy="352425"/>
                        </a:xfrm>
                        <a:prstGeom prst="rect">
                          <a:avLst/>
                        </a:prstGeom>
                      </pic:spPr>
                    </pic:pic>
                  </a:graphicData>
                </a:graphic>
              </wp:inline>
            </w:drawing>
          </w:r>
        </w:p>
      </w:tc>
    </w:tr>
  </w:tbl>
  <w:p>
    <w:pPr>
      <w:pBdr>
        <w:bottom w:val="single" w:sz="4" w:space="4" w:color="CCCCCC"/>
      </w:pBdr>
      <w:spacing w:before="0"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76856990df4cfa50c6a765047ea64bd3a10aca1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27d47ac27a09bc2b748ecbad0cdba7def51921.png"/><Relationship Id="rId1" Type="http://schemas.openxmlformats.org/officeDocument/2006/relationships/image" Target="media/3b9c0a0d586a1f3f238d4e5b80428c87a9278af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2026-06-24T15:13:32.435Z</dcterms:created>
  <dcterms:modified xsi:type="dcterms:W3CDTF">2026-06-24T15:13:32.436Z</dcterms:modified>
</cp:coreProperties>
</file>

<file path=docProps/custom.xml><?xml version="1.0" encoding="utf-8"?>
<Properties xmlns="http://schemas.openxmlformats.org/officeDocument/2006/custom-properties" xmlns:vt="http://schemas.openxmlformats.org/officeDocument/2006/docPropsVTypes"/>
</file>