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drawing>
          <wp:inline>
            <wp:extent cx="1259999" cy="158444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logo_uni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999" cy="158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ubtitle"/>
      </w:pPr>
      <w:r>
        <w:t xml:space="preserve">UNIVERSIDAD NACIONAL DE INGENIERÍA · Facultad de Ingeniería Industrial y de Sistemas · Maestría en Inteligencia Artificial</w:t>
      </w:r>
    </w:p>
    <w:p>
      <w:pPr>
        <w:pStyle w:val="Title"/>
      </w:pPr>
      <w:r>
        <w:t xml:space="preserve">ENTREGABLE SEMANA 2</w:t>
      </w:r>
    </w:p>
    <w:p>
      <w:pPr>
        <w:pStyle w:val="Subtitle"/>
      </w:pPr>
      <w:r>
        <w:t xml:space="preserve">Curso: MIA-14 · Trabajo de Investigación II · Sección B · 2026-2</w:t>
      </w:r>
    </w:p>
    <w:p>
      <w:pPr>
        <w:pStyle w:val="Author"/>
      </w:pPr>
      <w:r>
        <w:rPr>
          <w:b/>
          <w:bCs/>
        </w:rPr>
        <w:t xml:space="preserve">Proceso:</w:t>
      </w:r>
      <w:r>
        <w:t xml:space="preserve"> </w:t>
      </w:r>
      <w:r>
        <w:t xml:space="preserve">Diseño reproducible del flujo experimental: pipeline de aprendizaje supervisado para la detección y priorización de eventos adversos</w:t>
      </w:r>
    </w:p>
    <w:p>
      <w:pPr>
        <w:pStyle w:val="Author"/>
      </w:pPr>
      <w:r>
        <w:rPr>
          <w:b/>
          <w:bCs/>
        </w:rPr>
        <w:t xml:space="preserve">Tesis:</w:t>
      </w:r>
      <w:r>
        <w:t xml:space="preserve"> </w:t>
      </w:r>
      <w:r>
        <w:rPr>
          <w:i/>
          <w:iCs/>
        </w:rPr>
        <w:t xml:space="preserve">Detección Automatizada y Priorización de Eventos Adversos en Notas Clínicas mediante un Flujo de Procesamiento (Pipeline) de NLP y Aprendizaje Automático — Aplicación de la Matriz de Priorización del Modelo GEMSES sobre MIMIC-IV</w:t>
      </w:r>
    </w:p>
    <w:p>
      <w:pPr>
        <w:pStyle w:val="Author"/>
      </w:pPr>
      <w:r>
        <w:t xml:space="preserve">Autor: Carlos Pérez Pérez · Docente: Dr. Ing. Glen Dario Rodríguez Rafael</w:t>
      </w:r>
    </w:p>
    <w:p>
      <w:pPr>
        <w:pStyle w:val="Date"/>
      </w:pPr>
      <w:r>
        <w:t xml:space="preserve">Lima, 25 de septiembre de 2026</w:t>
      </w:r>
    </w:p>
    <w:p>
      <w:r>
        <w:br w:type="page"/>
      </w:r>
    </w:p>
    <w:p>
      <w:pPr>
        <w:pStyle w:val="BodyText"/>
      </w:pPr>
      <w:r>
        <w:rPr>
          <w:b/>
          <w:bCs/>
        </w:rPr>
        <w:t xml:space="preserve">Tipo de tesis:</w:t>
      </w:r>
      <w:r>
        <w:t xml:space="preserve"> </w:t>
      </w:r>
      <w:r>
        <w:t xml:space="preserve">aprendizaje supervisado (clasificación de texto clínico), con dos adaptaciones: la etiqueta de entrenamiento es de</w:t>
      </w:r>
      <w:r>
        <w:t xml:space="preserve"> </w:t>
      </w:r>
      <w:r>
        <w:rPr>
          <w:i/>
          <w:iCs/>
        </w:rPr>
        <w:t xml:space="preserve">supervisión débil</w:t>
      </w:r>
      <w:r>
        <w:t xml:space="preserve"> </w:t>
      </w:r>
      <w:r>
        <w:t xml:space="preserve">(códigos CIE-10 causales) y la evaluación se cierra con un panel de expertos y con un corpus en español con etiqueta humana.</w:t>
      </w:r>
    </w:p>
    <w:p>
      <w:pPr>
        <w:pStyle w:val="BodyText"/>
      </w:pPr>
      <w:r>
        <w:rPr>
          <w:b/>
          <w:bCs/>
        </w:rPr>
        <w:t xml:space="preserve">Continuidad.</w:t>
      </w:r>
      <w:r>
        <w:t xml:space="preserve"> </w:t>
      </w:r>
      <w:r>
        <w:t xml:space="preserve">El título de la tesis es el mismo del proyecto aprobado en Trabajo de Investigación I (MIA-303, cerrado el 14-jul-2026). Lo que ha cambiado es lo que se ha probado y mejorado desde entonces: este diseño integra en un solo flujo la ejecución de la tesis (Fases 3v2 a 13), lo aprendido en el curso de Procesamiento de Lenguaje Natural (auditoría adversarial de 26 hallazgos) y la experiencia del sistema GEM·VigIA sobre reportes de EsSalud en producción. Todas las cifras provienen de archivos de resultados del proyecto; las que el propio proceso invalidó no se citan. Lo que es criterio propio va rotulado</w:t>
      </w:r>
      <w:r>
        <w:t xml:space="preserve"> </w:t>
      </w:r>
      <w:r>
        <w:rPr>
          <w:b/>
          <w:bCs/>
        </w:rPr>
        <w:t xml:space="preserve">[juicio técnico]</w:t>
      </w:r>
      <w:r>
        <w:t xml:space="preserve">.</w:t>
      </w:r>
    </w:p>
    <w:bookmarkStart w:id="15" w:name="diagrama-del-flujo-principal"/>
    <w:p>
      <w:pPr>
        <w:pStyle w:val="Heading1"/>
      </w:pPr>
      <w:r>
        <w:t xml:space="preserve">1. Diagrama del flujo principal</w:t>
      </w:r>
    </w:p>
    <w:p>
      <w:pPr>
        <w:pStyle w:val="CaptionedFigure"/>
      </w:pPr>
      <w:r>
        <w:drawing>
          <wp:inline>
            <wp:extent cx="5120640" cy="3322499"/>
            <wp:effectExtent b="0" l="0" r="0" t="0"/>
            <wp:docPr descr="Pipeline reproducible en seis etapas, con la salida de cada una, los controles contra fugas y el estado de reproducibilidad." title="" id="13" name="Picture"/>
            <a:graphic>
              <a:graphicData uri="http://schemas.openxmlformats.org/drawingml/2006/picture">
                <pic:pic>
                  <pic:nvPicPr>
                    <pic:cNvPr descr="fig_pipeline_semana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3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reproducible en seis etapas, con la salida de cada una, los controles contra fugas y el estado de reproducibilidad.</w:t>
      </w:r>
    </w:p>
    <w:bookmarkEnd w:id="15"/>
    <w:bookmarkStart w:id="16" w:name="X288f691d8149b13965dbf9fed092a1f114938de"/>
    <w:p>
      <w:pPr>
        <w:pStyle w:val="Heading1"/>
      </w:pPr>
      <w:r>
        <w:t xml:space="preserve">2. Entradas, componentes y salida de cada etapa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Recibe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Produce (artefacto reproducible)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Ingesta</w:t>
            </w:r>
          </w:p>
        </w:tc>
        <w:tc>
          <w:tcPr/>
          <w:p>
            <w:pPr>
              <w:pStyle w:val="Compact"/>
            </w:pPr>
            <w:r>
              <w:t xml:space="preserve">MIMIC-IV v3.1 + MIMIC-IV-Note v2.2 (acuerdo de uso PhysioNet), leídos con DuckDB</w:t>
            </w:r>
          </w:p>
        </w:tc>
        <w:tc>
          <w:tcPr/>
          <w:p>
            <w:pPr>
              <w:pStyle w:val="Compact"/>
            </w:pPr>
            <w:r>
              <w:t xml:space="preserve">Extrae las epicrisis (</w:t>
            </w:r>
            <w:r>
              <w:rPr>
                <w:i/>
                <w:iCs/>
              </w:rPr>
              <w:t xml:space="preserve">discharge summaries</w:t>
            </w:r>
            <w:r>
              <w:t xml:space="preserve">) con identificador de paciente, de hospitalización y códigos de egreso</w:t>
            </w:r>
          </w:p>
        </w:tc>
        <w:tc>
          <w:tcPr/>
          <w:p>
            <w:pPr>
              <w:pStyle w:val="Compact"/>
            </w:pPr>
            <w:r>
              <w:t xml:space="preserve">331 793 epicrisis de 145 914 pacientes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Preprocesamiento y etiqueta</w:t>
            </w:r>
          </w:p>
        </w:tc>
        <w:tc>
          <w:tcPr/>
          <w:p>
            <w:pPr>
              <w:pStyle w:val="Compact"/>
            </w:pPr>
            <w:r>
              <w:t xml:space="preserve">Epicrisis + diagnósticos codificados</w:t>
            </w:r>
          </w:p>
        </w:tc>
        <w:tc>
          <w:tcPr/>
          <w:p>
            <w:pPr>
              <w:pStyle w:val="Compact"/>
            </w:pPr>
            <w:r>
              <w:t xml:space="preserve">Tier A: 223 códigos CIE-10 causales + 21 equivalencias OMS→CM → etiqueta A1 no circular; emparejamiento de época CIE-9/CIE-10 en los negativos; NegEx y regex Tier B solo como baseline</w:t>
            </w:r>
          </w:p>
        </w:tc>
        <w:tc>
          <w:tcPr/>
          <w:p>
            <w:pPr>
              <w:pStyle w:val="Compact"/>
            </w:pPr>
            <w:r>
              <w:t xml:space="preserve">Corpus de modelado de 70 000 epicrisis con prevalencia real 0.2012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Partición y features</w:t>
            </w:r>
          </w:p>
        </w:tc>
        <w:tc>
          <w:tcPr/>
          <w:p>
            <w:pPr>
              <w:pStyle w:val="Compact"/>
            </w:pPr>
            <w:r>
              <w:t xml:space="preserve">Corpus de modelado</w:t>
            </w:r>
          </w:p>
        </w:tc>
        <w:tc>
          <w:tcPr/>
          <w:p>
            <w:pPr>
              <w:pStyle w:val="Compact"/>
            </w:pPr>
            <w:r>
              <w:t xml:space="preserve">Partición por paciente (GroupShuffleSplit), test 20 %, semilla 42, con verificación de pacientes disjuntos; TF-IDF de palabras (1–2-gramas, 60 000 rasgos, mínimo 3 documentos) + TF-IDF de caracteres (3–5, 20 000 rasgos, mínimo 5), escala sublineal; el vocabulario se ajusta</w:t>
            </w:r>
            <w:r>
              <w:t xml:space="preserve"> </w:t>
            </w:r>
            <w:r>
              <w:rPr>
                <w:b/>
                <w:bCs/>
              </w:rPr>
              <w:t xml:space="preserve">solo con train</w:t>
            </w:r>
          </w:p>
        </w:tc>
        <w:tc>
          <w:tcPr/>
          <w:p>
            <w:pPr>
              <w:pStyle w:val="Compact"/>
            </w:pPr>
            <w:r>
              <w:t xml:space="preserve">Conjunto de datos final en formato Parquet; matrices dispersas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Entrenamiento</w:t>
            </w:r>
          </w:p>
        </w:tc>
        <w:tc>
          <w:tcPr/>
          <w:p>
            <w:pPr>
              <w:pStyle w:val="Compact"/>
            </w:pPr>
            <w:r>
              <w:t xml:space="preserve">Matrices TF-IDF</w:t>
            </w:r>
          </w:p>
        </w:tc>
        <w:tc>
          <w:tcPr/>
          <w:p>
            <w:pPr>
              <w:pStyle w:val="Compact"/>
            </w:pPr>
            <w:r>
              <w:t xml:space="preserve">Cascada de dos etapas: E1 detección evento sí/no con LinearSVC balanceado; E2 naturaleza del evento, 6 clases multietiqueta, OneVsRest(LinearSVC), entrenada solo con positivos y con su propia partición por paciente; prueba de abstención con 6 textos triviales</w:t>
            </w:r>
          </w:p>
        </w:tc>
        <w:tc>
          <w:tcPr/>
          <w:p>
            <w:pPr>
              <w:pStyle w:val="Compact"/>
            </w:pPr>
            <w:r>
              <w:t xml:space="preserve">Modelo final serializado (10.7 MB, fuera de git por el acuerdo de uso)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Evaluación</w:t>
            </w:r>
          </w:p>
        </w:tc>
        <w:tc>
          <w:tcPr/>
          <w:p>
            <w:pPr>
              <w:pStyle w:val="Compact"/>
            </w:pPr>
            <w:r>
              <w:t xml:space="preserve">Test reservado; panel experto; corpus ERSP</w:t>
            </w:r>
          </w:p>
        </w:tc>
        <w:tc>
          <w:tcPr/>
          <w:p>
            <w:pPr>
              <w:pStyle w:val="Compact"/>
            </w:pPr>
            <w:r>
              <w:t xml:space="preserve">Métricas con IC95 por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(200 réplicas) por nota y por paciente; cascada extremo a extremo; sistema contra consenso de expertos</w:t>
            </w:r>
          </w:p>
        </w:tc>
        <w:tc>
          <w:tcPr/>
          <w:p>
            <w:pPr>
              <w:pStyle w:val="Compact"/>
            </w:pPr>
            <w:r>
              <w:t xml:space="preserve">JSON de resultados finales; JSON de métricas corregidas; JSON de sistema contra experto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Salida</w:t>
            </w:r>
          </w:p>
        </w:tc>
        <w:tc>
          <w:tcPr/>
          <w:p>
            <w:pPr>
              <w:pStyle w:val="Compact"/>
            </w:pPr>
            <w:r>
              <w:t xml:space="preserve">Detecciones por nota</w:t>
            </w:r>
          </w:p>
        </w:tc>
        <w:tc>
          <w:tcPr/>
          <w:p>
            <w:pPr>
              <w:pStyle w:val="Compact"/>
            </w:pPr>
            <w:r>
              <w:t xml:space="preserve">Matriz de Priorización GEMSES (Anexo 03 de la Directiva N.º 7-OGCyH-ESSALUD-2020): G = 0.40·c + 0.20·d + 0.15·e + 0.25·f → percentiles P25/P50/P75 → banda Verde/Amarillo/Rojo y responsable</w:t>
            </w:r>
          </w:p>
        </w:tc>
        <w:tc>
          <w:tcPr/>
          <w:p>
            <w:pPr>
              <w:pStyle w:val="Compact"/>
            </w:pPr>
            <w:r>
              <w:t xml:space="preserve">Tablero de priorización (prototipo)</w:t>
            </w:r>
          </w:p>
        </w:tc>
      </w:tr>
    </w:tbl>
    <w:p>
      <w:pPr>
        <w:pStyle w:val="BodyText"/>
      </w:pPr>
      <w:r>
        <w:rPr>
          <w:b/>
          <w:bCs/>
        </w:rPr>
        <w:t xml:space="preserve">Fuente de datos, unidad de análisis y variable objetivo.</w:t>
      </w:r>
      <w:r>
        <w:t xml:space="preserve"> </w:t>
      </w:r>
      <w:r>
        <w:t xml:space="preserve">La unidad de análisis es la epicrisis (una por hospitalización). La variable objetivo de E1 es binaria (¿la hospitalización tuvo un evento adverso codificado como causal?) y la de E2 es la</w:t>
      </w:r>
      <w:r>
        <w:t xml:space="preserve"> </w:t>
      </w:r>
      <w:r>
        <w:rPr>
          <w:i/>
          <w:iCs/>
        </w:rPr>
        <w:t xml:space="preserve">naturaleza</w:t>
      </w:r>
      <w:r>
        <w:t xml:space="preserve"> </w:t>
      </w:r>
      <w:r>
        <w:t xml:space="preserve">del evento según la Tabla de Codificación (Anexo 02 de la misma Directiva), reducida a 6 clases con n suficiente. No hay valores faltantes numéricos ni escalamiento: el texto es la única entrada del modelo y TF-IDF ya normaliza; la fusión con variables tabulares prevista en el proyecto original</w:t>
      </w:r>
      <w:r>
        <w:t xml:space="preserve"> </w:t>
      </w:r>
      <w:r>
        <w:rPr>
          <w:b/>
          <w:bCs/>
        </w:rPr>
        <w:t xml:space="preserve">nunca se ejecutó</w:t>
      </w:r>
      <w:r>
        <w:t xml:space="preserve"> </w:t>
      </w:r>
      <w:r>
        <w:t xml:space="preserve">y queda fuera de alcance.</w:t>
      </w:r>
    </w:p>
    <w:p>
      <w:pPr>
        <w:pStyle w:val="BodyText"/>
      </w:pPr>
      <w:r>
        <w:rPr>
          <w:b/>
          <w:bCs/>
        </w:rPr>
        <w:t xml:space="preserve">Regla de partición.</w:t>
      </w:r>
      <w:r>
        <w:t xml:space="preserve"> </w:t>
      </w:r>
      <w:r>
        <w:t xml:space="preserve">Se respeta la unidad</w:t>
      </w:r>
      <w:r>
        <w:t xml:space="preserve"> </w:t>
      </w:r>
      <w:r>
        <w:rPr>
          <w:i/>
          <w:iCs/>
        </w:rPr>
        <w:t xml:space="preserve">paciente</w:t>
      </w:r>
      <w:r>
        <w:t xml:space="preserve">: ningún paciente aparece a la vez en train y test. En la Fase 4 se comprobó que el split por paciente no degrada el rendimiento (F1-macro 0.492 ± 0.018) y desde entonces es obligatorio. Desarrollo y ajuste se hacen con validación cruzada de 5 pliegues dentro del train; el test se toca una sola vez; el panel experto y el corpus ERSP actúan como evaluación externa.</w:t>
      </w:r>
    </w:p>
    <w:bookmarkEnd w:id="16"/>
    <w:bookmarkStart w:id="20" w:name="X83a24b85269e57e603e42aa75c0a5185f426457"/>
    <w:p>
      <w:pPr>
        <w:pStyle w:val="Heading1"/>
      </w:pPr>
      <w:r>
        <w:t xml:space="preserve">3. Proceso de obtención de la base de datos MIMIC-IV</w:t>
      </w:r>
    </w:p>
    <w:p>
      <w:pPr>
        <w:pStyle w:val="FirstParagraph"/>
      </w:pPr>
      <w:r>
        <w:t xml:space="preserve">MIMIC-IV no se descarga libremente: PhysioNet (MIT) exige acreditación personal, formación en ética de investigación y un acuerdo de uso de datos. El proceso completo, con fechas y tiempos, fue el siguiente.</w:t>
      </w:r>
    </w:p>
    <w:p>
      <w:pPr>
        <w:pStyle w:val="CaptionedFigure"/>
      </w:pPr>
      <w:r>
        <w:drawing>
          <wp:inline>
            <wp:extent cx="5120640" cy="3252894"/>
            <wp:effectExtent b="0" l="0" r="0" t="0"/>
            <wp:docPr descr="Proceso de obtención de MIMIC-IV: pasos, requisitos cumplidos y tiempos." title="" id="18" name="Picture"/>
            <a:graphic>
              <a:graphicData uri="http://schemas.openxmlformats.org/drawingml/2006/picture">
                <pic:pic>
                  <pic:nvPicPr>
                    <pic:cNvPr descr="fig_acceso_mimic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25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de obtención de MIMIC-IV: pasos, requisitos cumplidos y tiempos.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Qué se hizo</w:t>
            </w:r>
          </w:p>
        </w:tc>
        <w:tc>
          <w:tcPr/>
          <w:p>
            <w:pPr>
              <w:pStyle w:val="Compact"/>
            </w:pPr>
            <w:r>
              <w:t xml:space="preserve">Requisito que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 Decisión de la fuente</w:t>
            </w:r>
          </w:p>
        </w:tc>
        <w:tc>
          <w:tcPr/>
          <w:p>
            <w:pPr>
              <w:pStyle w:val="Compact"/>
            </w:pPr>
            <w:r>
              <w:t xml:space="preserve">27–28 abr 2026</w:t>
            </w:r>
          </w:p>
        </w:tc>
        <w:tc>
          <w:tcPr/>
          <w:p>
            <w:pPr>
              <w:pStyle w:val="Compact"/>
            </w:pPr>
            <w:r>
              <w:t xml:space="preserve">Sin acceso a historias clínicas de EsSalud, MIMIC-IV pasa de plan B a dataset principal</w:t>
            </w:r>
          </w:p>
        </w:tc>
        <w:tc>
          <w:tcPr/>
          <w:p>
            <w:pPr>
              <w:pStyle w:val="Compact"/>
            </w:pPr>
            <w:r>
              <w:t xml:space="preserve">Viabilidad del proyecto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Registro en PhysioNet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Cuenta con nombre real y afiliación académica</w:t>
            </w:r>
          </w:p>
        </w:tc>
        <w:tc>
          <w:tcPr/>
          <w:p>
            <w:pPr>
              <w:pStyle w:val="Compact"/>
            </w:pPr>
            <w:r>
              <w:t xml:space="preserve">Identidad y afiliación verificables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Certificación ética CITI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Curso «Data or Specimens Only Research» (MIT Affiliates), nota 95/100 (mínimo 90); segundo curso «Ética en Investigación» bajo EsSalud, nota 96/100. Ambos vigentes hasta el 28 abr 2029</w:t>
            </w:r>
          </w:p>
        </w:tc>
        <w:tc>
          <w:tcPr/>
          <w:p>
            <w:pPr>
              <w:pStyle w:val="Compact"/>
            </w:pPr>
            <w:r>
              <w:t xml:space="preserve">Formación en protección de sujetos humanos y HIPAA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Solicitud de acceso y acuerdo de uso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Solicitud de</w:t>
            </w:r>
            <w:r>
              <w:t xml:space="preserve"> </w:t>
            </w:r>
            <w:r>
              <w:rPr>
                <w:i/>
                <w:iCs/>
              </w:rPr>
              <w:t xml:space="preserve">credentialed access</w:t>
            </w:r>
            <w:r>
              <w:t xml:space="preserve"> </w:t>
            </w:r>
            <w:r>
              <w:t xml:space="preserve">y firma del</w:t>
            </w:r>
            <w:r>
              <w:t xml:space="preserve"> </w:t>
            </w:r>
            <w:r>
              <w:rPr>
                <w:i/>
                <w:iCs/>
              </w:rPr>
              <w:t xml:space="preserve">Credentialed Health Data Use Agreement</w:t>
            </w:r>
            <w:r>
              <w:t xml:space="preserve"> </w:t>
            </w:r>
            <w:r>
              <w:t xml:space="preserve">v1.5.0 para MIMIC-IV v3.1</w:t>
            </w:r>
          </w:p>
        </w:tc>
        <w:tc>
          <w:tcPr/>
          <w:p>
            <w:pPr>
              <w:pStyle w:val="Compact"/>
            </w:pPr>
            <w:r>
              <w:t xml:space="preserve">No reidentificar, no redistribuir, no compartir texto, citar el DOI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Acceso confirmado a MIMIC-IV v3.1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Módulos hosp e icu: 364 627 pacientes, 546 028 hospitalizaciones, 94 458 estancias en UCI (DOI 10.13026/kpb9-mt58)</w:t>
            </w:r>
          </w:p>
        </w:tc>
        <w:tc>
          <w:tcPr/>
          <w:p>
            <w:pPr>
              <w:pStyle w:val="Compact"/>
            </w:pPr>
            <w:r>
              <w:t xml:space="preserve">Acceso otorgado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Acuerdo específico de MIMIC-IV-Note v2.2</w:t>
            </w:r>
          </w:p>
        </w:tc>
        <w:tc>
          <w:tcPr/>
          <w:p>
            <w:pPr>
              <w:pStyle w:val="Compact"/>
            </w:pPr>
            <w:r>
              <w:t xml:space="preserve">10–11 may 2026</w:t>
            </w:r>
          </w:p>
        </w:tc>
        <w:tc>
          <w:tcPr/>
          <w:p>
            <w:pPr>
              <w:pStyle w:val="Compact"/>
            </w:pPr>
            <w:r>
              <w:t xml:space="preserve">Las notas clínicas tienen su propio acuerdo de uso (DOI 10.13026/1n74-ne17); descarga de 4 archivos comprimidos = 1.96 GB (epicrisis 1.14 GB; radiología 781 MB; dos archivos de metadatos)</w:t>
            </w:r>
          </w:p>
        </w:tc>
        <w:tc>
          <w:tcPr/>
          <w:p>
            <w:pPr>
              <w:pStyle w:val="Compact"/>
            </w:pPr>
            <w:r>
              <w:t xml:space="preserve">Acceso al texto libre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Entorno y primera lectura</w:t>
            </w:r>
          </w:p>
        </w:tc>
        <w:tc>
          <w:tcPr/>
          <w:p>
            <w:pPr>
              <w:pStyle w:val="Compact"/>
            </w:pPr>
            <w:r>
              <w:t xml:space="preserve">11 may 2026</w:t>
            </w:r>
          </w:p>
        </w:tc>
        <w:tc>
          <w:tcPr/>
          <w:p>
            <w:pPr>
              <w:pStyle w:val="Compact"/>
            </w:pPr>
            <w:r>
              <w:t xml:space="preserve">Python 3.13.5 + DuckDB 1.5.2 leen los archivos comprimidos sin cargarlos a memoria; consulta de verificación: 331 793 epicrisis, 100 % del tipo</w:t>
            </w:r>
            <w:r>
              <w:t xml:space="preserve"> </w:t>
            </w:r>
            <w:r>
              <w:rPr>
                <w:i/>
                <w:iCs/>
              </w:rPr>
              <w:t xml:space="preserve">discharge summary</w:t>
            </w:r>
            <w:r>
              <w:t xml:space="preserve">, consistente con el artículo oficial del dataset</w:t>
            </w:r>
          </w:p>
        </w:tc>
        <w:tc>
          <w:tcPr/>
          <w:p>
            <w:pPr>
              <w:pStyle w:val="Compact"/>
            </w:pPr>
            <w:r>
              <w:t xml:space="preserve">Lectura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Integridad del dataset completo</w:t>
            </w:r>
          </w:p>
        </w:tc>
        <w:tc>
          <w:tcPr/>
          <w:p>
            <w:pPr>
              <w:pStyle w:val="Compact"/>
            </w:pPr>
            <w:r>
              <w:t xml:space="preserve">14 may 2026</w:t>
            </w:r>
          </w:p>
        </w:tc>
        <w:tc>
          <w:tcPr/>
          <w:p>
            <w:pPr>
              <w:pStyle w:val="Compact"/>
            </w:pPr>
            <w:r>
              <w:t xml:space="preserve">Descarga y descompresión de los 33 archivos de MIMIC-IV v3.1; verificación SHA-256 contra el listado oficial: 33/33 íntegros; datos en disco local y excluidos del control de versiones</w:t>
            </w:r>
          </w:p>
        </w:tc>
        <w:tc>
          <w:tcPr/>
          <w:p>
            <w:pPr>
              <w:pStyle w:val="Compact"/>
            </w:pPr>
            <w:r>
              <w:t xml:space="preserve">Integridad y cumplimiento del acuerdo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Tiempos.</w:t>
      </w:r>
      <w:r>
        <w:t xml:space="preserve"> </w:t>
      </w:r>
      <w:r>
        <w:t xml:space="preserve">Registro, cursos de ética, acuerdo de uso y acceso a MIMIC-IV:</w:t>
      </w:r>
      <w:r>
        <w:t xml:space="preserve"> </w:t>
      </w:r>
      <w:r>
        <w:rPr>
          <w:b/>
          <w:bCs/>
        </w:rPr>
        <w:t xml:space="preserve">1 día</w:t>
      </w:r>
      <w:r>
        <w:t xml:space="preserve"> </w:t>
      </w:r>
      <w:r>
        <w:t xml:space="preserve">(28 de abril de 2026). Desde el acceso principal hasta el acuerdo de notas y la descarga de 1.96 GB:</w:t>
      </w:r>
      <w:r>
        <w:t xml:space="preserve"> </w:t>
      </w:r>
      <w:r>
        <w:rPr>
          <w:b/>
          <w:bCs/>
        </w:rPr>
        <w:t xml:space="preserve">13 días</w:t>
      </w:r>
      <w:r>
        <w:t xml:space="preserve">. Desde la decisión del dataset hasta el corpus completo verificado:</w:t>
      </w:r>
      <w:r>
        <w:t xml:space="preserve"> </w:t>
      </w:r>
      <w:r>
        <w:rPr>
          <w:b/>
          <w:bCs/>
        </w:rPr>
        <w:t xml:space="preserve">17 días</w:t>
      </w:r>
      <w:r>
        <w:t xml:space="preserve"> </w:t>
      </w:r>
      <w:r>
        <w:t xml:space="preserve">(27 de abril al 14 de mayo).</w:t>
      </w:r>
      <w:r>
        <w:t xml:space="preserve"> </w:t>
      </w:r>
      <w:r>
        <w:rPr>
          <w:b/>
          <w:bCs/>
        </w:rPr>
        <w:t xml:space="preserve">Costo:</w:t>
      </w:r>
      <w:r>
        <w:t xml:space="preserve"> </w:t>
      </w:r>
      <w:r>
        <w:t xml:space="preserve">S/ 0; el acceso es gratuito con acreditación.</w:t>
      </w:r>
    </w:p>
    <w:p>
      <w:pPr>
        <w:pStyle w:val="BodyText"/>
      </w:pPr>
      <w:r>
        <w:rPr>
          <w:b/>
          <w:bCs/>
        </w:rPr>
        <w:t xml:space="preserve">Requisitos adicionales que el proyecto se impuso:</w:t>
      </w:r>
      <w:r>
        <w:t xml:space="preserve"> </w:t>
      </w:r>
      <w:r>
        <w:t xml:space="preserve">segunda certificación ética bajo EsSalud (no exigida por PhysioNet, añadida por la afiliación institucional del autor); declaración explícita de conflicto de interés (autor del Modelo GEMSES y ex directivo de la instancia de EsSalud que emite la Directiva); acceso al texto de MIMIC-IV restringido al investigador principal, único acreditado; y exclusión de todo dato, modelo entrenado y copia de trabajo del repositorio de código.</w:t>
      </w:r>
    </w:p>
    <w:bookmarkEnd w:id="20"/>
    <w:bookmarkStart w:id="21" w:name="X7a489f429bc6ac4f4b8abba25b515ce994c4053"/>
    <w:p>
      <w:pPr>
        <w:pStyle w:val="Heading1"/>
      </w:pPr>
      <w:r>
        <w:t xml:space="preserve">4. Baseline, familia de modelos y alternativas ya descartadas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Baseline mínimo:</w:t>
      </w:r>
      <w:r>
        <w:t xml:space="preserve"> </w:t>
      </w:r>
      <w:r>
        <w:t xml:space="preserve">reglas regex Tier B + NegEx, precisión 65.7 % (IC95 54.0–75.8, n = 70, validación experta de mayo), y TF-IDF + regresión logística (Fase 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Familia elegida:</w:t>
      </w:r>
      <w:r>
        <w:t xml:space="preserve"> </w:t>
      </w:r>
      <w:r>
        <w:t xml:space="preserve">modelo lineal sobre TF-IDF (LinearSVC balanceado), en cascada. Es el modelo vigente desde la Fase 9 (29-jul-2026).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Alternativas probadas y refutadas</w:t>
      </w:r>
      <w:r>
        <w:t xml:space="preserve"> </w:t>
      </w:r>
      <w:r>
        <w:t xml:space="preserve">con la misma partición y semilla (hipótesis HE2): ClinicalBERT congelado F1-macro 0.19; Bio_ClinicalBERT y BioBERT con ajuste fino en GPU 0.21–0.35 (2.9–4.0 h) frente a 0.459 del lineal en 48 s; BioClinical ModernBERT con ventana de 1024 tokens 0.428 tras 42.5 h de GPU; Llama 3.2 3B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kappa 0.0 (dice sí a todo). Causa medida: la ventana de 256 tokens cubre el 9 % de una epicrisis (mediana 3 148 tokens). Se documenta como resultado negativo; solo se reabriría con Longformer o BigBird y GPU dedicada.</w:t>
      </w:r>
    </w:p>
    <w:bookmarkEnd w:id="21"/>
    <w:bookmarkStart w:id="22" w:name="criterio-preliminar-de-evaluación"/>
    <w:p>
      <w:pPr>
        <w:pStyle w:val="Heading1"/>
      </w:pPr>
      <w:r>
        <w:t xml:space="preserve">5. Criterio preliminar de evaluación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Situación al 25-set-2026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Métrica principal</w:t>
            </w:r>
          </w:p>
        </w:tc>
        <w:tc>
          <w:tcPr/>
          <w:p>
            <w:pPr>
              <w:pStyle w:val="Compact"/>
            </w:pPr>
            <w:r>
              <w:t xml:space="preserve">F1-macro de la</w:t>
            </w:r>
            <w:r>
              <w:t xml:space="preserve"> </w:t>
            </w:r>
            <w:r>
              <w:rPr>
                <w:b/>
                <w:bCs/>
              </w:rPr>
              <w:t xml:space="preserve">cascada completa</w:t>
            </w:r>
            <w:r>
              <w:t xml:space="preserve"> </w:t>
            </w:r>
            <w:r>
              <w:t xml:space="preserve">con IC95 por paciente (no la etapa aislada)</w:t>
            </w:r>
          </w:p>
        </w:tc>
        <w:tc>
          <w:tcPr/>
          <w:p>
            <w:pPr>
              <w:pStyle w:val="Compact"/>
            </w:pPr>
            <w:r>
              <w:t xml:space="preserve">0.363 en cascada frente a 0.536 de E2 aislada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Secundarias</w:t>
            </w:r>
          </w:p>
        </w:tc>
        <w:tc>
          <w:tcPr/>
          <w:p>
            <w:pPr>
              <w:pStyle w:val="Compact"/>
            </w:pPr>
            <w:r>
              <w:t xml:space="preserve">E1: sensibilidad, especificidad, AUC y VPP a prevalencia real; E2: F1-micro; abstención</w:t>
            </w:r>
          </w:p>
        </w:tc>
        <w:tc>
          <w:tcPr/>
          <w:p>
            <w:pPr>
              <w:pStyle w:val="Compact"/>
            </w:pPr>
            <w:r>
              <w:t xml:space="preserve">sens 0.762, esp 0.770, AUC 0.843, VPP 0.455; F1-micro 0.745; abstención 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Bueno</w:t>
            </w:r>
          </w:p>
        </w:tc>
        <w:tc>
          <w:tcPr/>
          <w:p>
            <w:pPr>
              <w:pStyle w:val="Compact"/>
            </w:pPr>
            <w:r>
              <w:t xml:space="preserve">Supera el baseline de reglas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kappa sistema–experto ≥ 0.61 (umbral fijado en la hipótesis general del proyecto)</w:t>
            </w:r>
          </w:p>
        </w:tc>
        <w:tc>
          <w:tcPr/>
          <w:p>
            <w:pPr>
              <w:pStyle w:val="Compact"/>
            </w:pPr>
            <w:r>
              <w:t xml:space="preserve">kappa 0.531 (n = 68, solo infección):</w:t>
            </w:r>
            <w:r>
              <w:t xml:space="preserve"> </w:t>
            </w:r>
            <w:r>
              <w:rPr>
                <w:b/>
                <w:bCs/>
              </w:rPr>
              <w:t xml:space="preserve">no alcanzado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Aceptable</w:t>
            </w:r>
          </w:p>
        </w:tc>
        <w:tc>
          <w:tcPr/>
          <w:p>
            <w:pPr>
              <w:pStyle w:val="Compact"/>
            </w:pPr>
            <w:r>
              <w:t xml:space="preserve">Supera el baseline lineal en cascada y F1 &gt; 0.5 en toda clase con n ≥ 100</w:t>
            </w:r>
          </w:p>
        </w:tc>
        <w:tc>
          <w:tcPr/>
          <w:p>
            <w:pPr>
              <w:pStyle w:val="Compact"/>
            </w:pPr>
            <w:r>
              <w:t xml:space="preserve">Cumplido en Infección y Procedimiento; Sistema/Organización (n = 66) F1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Fuera de alcance</w:t>
            </w:r>
          </w:p>
        </w:tc>
        <w:tc>
          <w:tcPr/>
          <w:p>
            <w:pPr>
              <w:pStyle w:val="Compact"/>
            </w:pPr>
            <w:r>
              <w:t xml:space="preserve">Clases con n insuficiente: Sistema/Organización, Sangre/Hemoderivados, Nutrición</w:t>
            </w:r>
          </w:p>
        </w:tc>
        <w:tc>
          <w:tcPr/>
          <w:p>
            <w:pPr>
              <w:pStyle w:val="Compact"/>
            </w:pPr>
            <w:r>
              <w:t xml:space="preserve">Declaradas no viables, no se intenta corregirlas</w:t>
            </w:r>
          </w:p>
        </w:tc>
      </w:tr>
    </w:tbl>
    <w:p>
      <w:pPr>
        <w:pStyle w:val="BodyText"/>
      </w:pPr>
      <w:r>
        <w:t xml:space="preserve">Toda comparación entre modelos se hace con la misma partición (semilla 42, por paciente) y se reporta siempre la cascada, porque el pipeline completo rinde menos que sus etapas.</w:t>
      </w:r>
    </w:p>
    <w:bookmarkEnd w:id="22"/>
    <w:bookmarkStart w:id="23" w:name="reproducibilidad"/>
    <w:p>
      <w:pPr>
        <w:pStyle w:val="Heading1"/>
      </w:pPr>
      <w:r>
        <w:t xml:space="preserve">6. Reproducibilidad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Versiones fijas:</w:t>
      </w:r>
      <w:r>
        <w:t xml:space="preserve"> </w:t>
      </w:r>
      <w:r>
        <w:t xml:space="preserve">MIMIC-IV v3.1 (DOI 10.13026/kpb9-mt58), MIMIC-IV-Note v2.2 (DOI 10.13026/1n74-ne17), Python 3.13.5, DuckDB 1.5.2; versión de scikit-learn</w:t>
      </w:r>
      <w:r>
        <w:t xml:space="preserve"> </w:t>
      </w:r>
      <w:r>
        <w:rPr>
          <w:b/>
          <w:bCs/>
        </w:rPr>
        <w:t xml:space="preserve">por fijar</w:t>
      </w:r>
      <w:r>
        <w:t xml:space="preserve"> </w:t>
      </w:r>
      <w:r>
        <w:t xml:space="preserve">en el archivo de dependencias.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Semillas:</w:t>
      </w:r>
      <w:r>
        <w:t xml:space="preserve"> </w:t>
      </w:r>
      <w:r>
        <w:t xml:space="preserve">42 en la partición, en el muestreo del corpus y en el</w:t>
      </w:r>
      <w:r>
        <w:t xml:space="preserve"> </w:t>
      </w:r>
      <w:r>
        <w:rPr>
          <w:i/>
          <w:iCs/>
        </w:rPr>
        <w:t xml:space="preserve">bootstrap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Registro de experimentos:</w:t>
      </w:r>
      <w:r>
        <w:t xml:space="preserve"> </w:t>
      </w:r>
      <w:r>
        <w:t xml:space="preserve">un archivo JSON de resultados por fase, más bitácoras fechadas por sesión. Cada cifra del borrador de tesis lleva un comentario con el archivo del que proviene, verificado por script.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Artefactos:</w:t>
      </w:r>
      <w:r>
        <w:t xml:space="preserve"> </w:t>
      </w:r>
      <w:r>
        <w:t xml:space="preserve">modelo final serializado, conjunto de datos final (Parquet), JSON de resultados finales y JSON de métricas corregidas. Modelo y datos quedan fuera de git por el acuerdo de uso; el repositorio de la tesis es privado desde el 28-jul-2026.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 honesto (verificado el 25-set-2026):</w:t>
      </w:r>
      <w:r>
        <w:t xml:space="preserve"> </w:t>
      </w:r>
      <w:r>
        <w:t xml:space="preserve">no existe aún un archivo de dependencias con versiones fijadas, ni plantilla de variables de entorno, ni un orquestador que encadene las fases, ni la estructura data/raw y data/processed; hay 46 scripts, uno por fase; la sección</w:t>
      </w:r>
      <w:r>
        <w:t xml:space="preserve"> </w:t>
      </w:r>
      <w:r>
        <w:t xml:space="preserve">“Cómo reproducir”</w:t>
      </w:r>
      <w:r>
        <w:t xml:space="preserve"> </w:t>
      </w:r>
      <w:r>
        <w:t xml:space="preserve">del README apunta al notebook exploratorio y no a la cascada;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de los transformers no se guardaron (solo son reproducibles reentrenando).</w:t>
      </w:r>
      <w:r>
        <w:t xml:space="preserve"> </w:t>
      </w:r>
      <w:r>
        <w:rPr>
          <w:b/>
          <w:bCs/>
        </w:rPr>
        <w:t xml:space="preserve">Sprint 1 del curso</w:t>
      </w:r>
      <w:r>
        <w:t xml:space="preserve"> </w:t>
      </w:r>
      <w:r>
        <w:t xml:space="preserve">= cerrar exactamente esto, con criterio de aceptación medible: que un tercero con credencial PhysioNet regenere la Fase 9 con un solo comando y obtenga sens 0.7623, esp 0.7699 y AUC 0.8426 con tolerancia ± 0.005.</w:t>
      </w:r>
    </w:p>
    <w:bookmarkEnd w:id="23"/>
    <w:bookmarkStart w:id="24" w:name="Xb82c3b42f188a5a28afc4a28647cfe89e93b4c6"/>
    <w:p>
      <w:pPr>
        <w:pStyle w:val="Heading1"/>
      </w:pPr>
      <w:r>
        <w:t xml:space="preserve">7. Riesgos técnicos previsibles y cómo se detectan o mitigan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Dónde se detectó (frente)</w:t>
            </w:r>
          </w:p>
        </w:tc>
        <w:tc>
          <w:tcPr/>
          <w:p>
            <w:pPr>
              <w:pStyle w:val="Compact"/>
            </w:pPr>
            <w:r>
              <w:t xml:space="preserve">Mitigación incorporada al 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circularidad regex → etiqueta</w:t>
            </w:r>
          </w:p>
        </w:tc>
        <w:tc>
          <w:tcPr/>
          <w:p>
            <w:pPr>
              <w:pStyle w:val="Compact"/>
            </w:pPr>
            <w:r>
              <w:t xml:space="preserve">Tesis / PLN: enmascarar los disparadores solo baja 1.35 puntos</w:t>
            </w:r>
          </w:p>
        </w:tc>
        <w:tc>
          <w:tcPr/>
          <w:p>
            <w:pPr>
              <w:pStyle w:val="Compact"/>
            </w:pPr>
            <w:r>
              <w:t xml:space="preserve">Etiqueta A1 derivada de códigos CIE-10 causales, no del regex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Confusor de época CIE-9/CIE-10</w:t>
            </w:r>
          </w:p>
        </w:tc>
        <w:tc>
          <w:tcPr/>
          <w:p>
            <w:pPr>
              <w:pStyle w:val="Compact"/>
            </w:pPr>
            <w:r>
              <w:t xml:space="preserve">Tesis, Fase 7: AUC 0.973 → 0.840 al emparejar</w:t>
            </w:r>
          </w:p>
        </w:tc>
        <w:tc>
          <w:tcPr/>
          <w:p>
            <w:pPr>
              <w:pStyle w:val="Compact"/>
            </w:pPr>
            <w:r>
              <w:t xml:space="preserve">Emparejamiento de época en los negativos; la cifra 0.973 queda retirada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paciente</w:t>
            </w:r>
          </w:p>
        </w:tc>
        <w:tc>
          <w:tcPr/>
          <w:p>
            <w:pPr>
              <w:pStyle w:val="Compact"/>
            </w:pPr>
            <w:r>
              <w:t xml:space="preserve">PLN (auditoría adversarial)</w:t>
            </w:r>
          </w:p>
        </w:tc>
        <w:tc>
          <w:tcPr/>
          <w:p>
            <w:pPr>
              <w:pStyle w:val="Compact"/>
            </w:pPr>
            <w:r>
              <w:t xml:space="preserve">Partición por paciente con verificación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estilo de redacción</w:t>
            </w:r>
          </w:p>
        </w:tc>
        <w:tc>
          <w:tcPr/>
          <w:p>
            <w:pPr>
              <w:pStyle w:val="Compact"/>
            </w:pPr>
            <w:r>
              <w:t xml:space="preserve">GEM·VigIA: el triaje reclamo/denuncia daba 98.4 %, y 91.5 % solo con palabras funcionales</w:t>
            </w:r>
          </w:p>
        </w:tc>
        <w:tc>
          <w:tcPr/>
          <w:p>
            <w:pPr>
              <w:pStyle w:val="Compact"/>
            </w:pPr>
            <w:r>
              <w:t xml:space="preserve">Ablaciones de control; no se usan metadatos de quién redacta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Mezcla de centros asistenciales</w:t>
            </w:r>
          </w:p>
        </w:tc>
        <w:tc>
          <w:tcPr/>
          <w:p>
            <w:pPr>
              <w:pStyle w:val="Compact"/>
            </w:pPr>
            <w:r>
              <w:t xml:space="preserve">GEM·VigIA sobre el mismo corpus ERSP: 0.77 estratificado frente a 0.42 por centro</w:t>
            </w:r>
          </w:p>
        </w:tc>
        <w:tc>
          <w:tcPr/>
          <w:p>
            <w:pPr>
              <w:pStyle w:val="Compact"/>
            </w:pPr>
            <w:r>
              <w:t xml:space="preserve">El OE5 se re-mide con partición por centro antes de citarse; 0.7675 solo como cota superior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insuficientes por clase</w:t>
            </w:r>
          </w:p>
        </w:tc>
        <w:tc>
          <w:tcPr/>
          <w:p>
            <w:pPr>
              <w:pStyle w:val="Compact"/>
            </w:pPr>
            <w:r>
              <w:t xml:space="preserve">Tesis, Fases 4 y 9</w:t>
            </w:r>
          </w:p>
        </w:tc>
        <w:tc>
          <w:tcPr/>
          <w:p>
            <w:pPr>
              <w:pStyle w:val="Compact"/>
            </w:pPr>
            <w:r>
              <w:t xml:space="preserve">Clases con n &lt; 100 declaradas no viables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 de etiqueta débil</w:t>
            </w:r>
          </w:p>
        </w:tc>
        <w:tc>
          <w:tcPr/>
          <w:p>
            <w:pPr>
              <w:pStyle w:val="Compact"/>
            </w:pPr>
            <w:r>
              <w:t xml:space="preserve">Panel experto limitado a infección; kappa 0.531 &lt; 0.61</w:t>
            </w:r>
          </w:p>
        </w:tc>
        <w:tc>
          <w:tcPr/>
          <w:p>
            <w:pPr>
              <w:pStyle w:val="Compact"/>
            </w:pPr>
            <w:r>
              <w:t xml:space="preserve">Decisión de alcance (20-set): A1 como estándar plata principal, panel como validación secundaria; limitación declarada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y latencia</w:t>
            </w:r>
          </w:p>
        </w:tc>
        <w:tc>
          <w:tcPr/>
          <w:p>
            <w:pPr>
              <w:pStyle w:val="Compact"/>
            </w:pPr>
            <w:r>
              <w:t xml:space="preserve">Transformers 2.9–42.5 h de GPU frente a 48 s</w:t>
            </w:r>
          </w:p>
        </w:tc>
        <w:tc>
          <w:tcPr/>
          <w:p>
            <w:pPr>
              <w:pStyle w:val="Compact"/>
            </w:pPr>
            <w:r>
              <w:t xml:space="preserve">Familia lineal; transformers cerrados como resultado negativo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Restricciones del entorno y datos personales</w:t>
            </w:r>
          </w:p>
        </w:tc>
        <w:tc>
          <w:tcPr/>
          <w:p>
            <w:pPr>
              <w:pStyle w:val="Compact"/>
            </w:pPr>
            <w:r>
              <w:t xml:space="preserve">Acuerdo de uso PhysioNet; incidente del 28-jul con datos personales del corpus ERSP</w:t>
            </w:r>
          </w:p>
        </w:tc>
        <w:tc>
          <w:tcPr/>
          <w:p>
            <w:pPr>
              <w:pStyle w:val="Compact"/>
            </w:pPr>
            <w:r>
              <w:t xml:space="preserve">Modelo y datos fuera de git; repositorio privado e historial reescrito; comunicaciones formales 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Pérdida de resultados intermedios</w:t>
            </w:r>
          </w:p>
        </w:tc>
        <w:tc>
          <w:tcPr/>
          <w:p>
            <w:pPr>
              <w:pStyle w:val="Compact"/>
            </w:pPr>
            <w:r>
              <w:t xml:space="preserve">Tesis: se perdieron las filas por nota del primer tramo (260 000) al morir el proceso</w:t>
            </w:r>
          </w:p>
        </w:tc>
        <w:tc>
          <w:tcPr/>
          <w:p>
            <w:pPr>
              <w:pStyle w:val="Compact"/>
            </w:pPr>
            <w:r>
              <w:t xml:space="preserve">Orquestador con</w:t>
            </w:r>
            <w:r>
              <w:t xml:space="preserve"> </w:t>
            </w:r>
            <w:r>
              <w:rPr>
                <w:i/>
                <w:iCs/>
              </w:rPr>
              <w:t xml:space="preserve">checkpoint</w:t>
            </w:r>
            <w:r>
              <w:t xml:space="preserve"> </w:t>
            </w:r>
            <w:r>
              <w:t xml:space="preserve">por fase (Sprint 1)</w:t>
            </w:r>
          </w:p>
        </w:tc>
      </w:tr>
    </w:tbl>
    <w:bookmarkEnd w:id="24"/>
    <w:bookmarkStart w:id="25" w:name="verificación-contra-la-guía-sección-11"/>
    <w:p>
      <w:pPr>
        <w:pStyle w:val="Heading1"/>
      </w:pPr>
      <w:r>
        <w:t xml:space="preserve">8. Verificación contra la guía (sección 11)</w:t>
      </w:r>
    </w:p>
    <w:p>
      <w:pPr>
        <w:pStyle w:val="FirstParagraph"/>
      </w:pPr>
      <w:r>
        <w:t xml:space="preserve">Diagrama acorde al tipo de tesis, entradas y salidas por etapa, criterio de resultado correcto, registro para reproducir, separación desarrollo/evaluación y riesgos (diez): cubiertos en las secciones 1 a 7. Alcance ejecutable con los recursos del curso:</w:t>
      </w:r>
      <w:r>
        <w:t xml:space="preserve"> </w:t>
      </w:r>
      <w:r>
        <w:rPr>
          <w:b/>
          <w:bCs/>
        </w:rPr>
        <w:t xml:space="preserve">[juicio técnico]</w:t>
      </w:r>
      <w:r>
        <w:t xml:space="preserve"> </w:t>
      </w:r>
      <w:r>
        <w:t xml:space="preserve">sí, porque el modelo ya existe, el acceso a los datos está vigente hasta 2029 y el Sprint 1 es de reproducibilidad, no de modelado.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2026-09-25T21:38:47Z</dcterms:created>
  <dcterms:modified xsi:type="dcterms:W3CDTF">2026-09-25T21:38:47Z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