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1259999" cy="158444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ogo_uni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1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ubtitle"/>
      </w:pPr>
      <w:r>
        <w:t xml:space="preserve">UNIVERSIDAD NACIONAL DE INGENIERÍA · Facultad de Ingeniería Industrial y de Sistemas · Maestría en Inteligencia Artificial</w:t>
      </w:r>
    </w:p>
    <w:p>
      <w:pPr>
        <w:pStyle w:val="Title"/>
      </w:pPr>
      <w:r>
        <w:t xml:space="preserve">ENTREGABLE SEMANA 2</w:t>
      </w:r>
    </w:p>
    <w:p>
      <w:pPr>
        <w:pStyle w:val="Subtitle"/>
      </w:pPr>
      <w:r>
        <w:t xml:space="preserve">Curso: MIA-14 · Trabajo de Investigación II · Sección B · 2026-2</w:t>
      </w:r>
    </w:p>
    <w:p>
      <w:pPr>
        <w:pStyle w:val="Author"/>
      </w:pPr>
      <w:r>
        <w:rPr>
          <w:b/>
          <w:bCs/>
        </w:rPr>
        <w:t xml:space="preserve">Proceso:</w:t>
      </w:r>
      <w:r>
        <w:t xml:space="preserve"> </w:t>
      </w:r>
      <w:r>
        <w:t xml:space="preserve">Diseño reproducible del flujo experimental: pipeline de aprendizaje supervisado para la detección y priorización de eventos adversos</w:t>
      </w:r>
    </w:p>
    <w:p>
      <w:pPr>
        <w:pStyle w:val="Author"/>
      </w:pPr>
      <w:r>
        <w:rPr>
          <w:b/>
          <w:bCs/>
        </w:rPr>
        <w:t xml:space="preserve">Tesis:</w:t>
      </w:r>
      <w:r>
        <w:t xml:space="preserve"> </w:t>
      </w:r>
      <w:r>
        <w:rPr>
          <w:i/>
          <w:iCs/>
        </w:rPr>
        <w:t xml:space="preserve">Detección Automatizada y Priorización de Eventos Adversos en Notas Clínicas mediante un Flujo de Procesamiento (Pipeline) de NLP y Aprendizaje Automático — Aplicación de la Matriz de Priorización del Modelo GEMSES sobre MIMIC-IV</w:t>
      </w:r>
    </w:p>
    <w:p>
      <w:pPr>
        <w:pStyle w:val="Author"/>
      </w:pPr>
      <w:r>
        <w:t xml:space="preserve">Autor: Carlos Pérez Pérez · Docente: Dr. Ing. Glen Dario Rodríguez Rafael</w:t>
      </w:r>
    </w:p>
    <w:p>
      <w:pPr>
        <w:pStyle w:val="Date"/>
      </w:pPr>
      <w:r>
        <w:t xml:space="preserve">Lima, 25 de septiembre de 2026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clínico), con dos adaptaciones: la etiqueta de entrenamiento es de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(códigos CIE-10 causales) y la evaluación se cierra con un panel de expertos y con un corpus en español con etiqueta humana.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El título de la tesis es el mismo del proyecto aprobado en Trabajo de Investigación I (MIA-303, cerrado el 14-jul-2026). Lo que ha cambiado es lo que se ha probado y mejorado desde entonces: este diseño integra en un solo flujo la ejecución de la tesis (Fases 3v2 a 13), lo aprendido en el curso de Procesamiento de Lenguaje Natural (auditoría adversarial de 26 hallazgos) y la experiencia del sistema GEM·VigIA sobre reportes de EsSalud en producción. Todas las cifras provienen de archivos de resultados del proyecto; las que el propio proceso invalidó no se citan. Lo que es criterio propio va rotulado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.</w:t>
      </w:r>
    </w:p>
    <w:bookmarkStart w:id="15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120640" cy="3322499"/>
            <wp:effectExtent b="0" l="0" r="0" t="0"/>
            <wp:docPr descr="Pipeline reproducible en seis etapas, con la salida de cada una, los controles contra fugas y el estado de reproducibilidad." title="" id="13" name="Picture"/>
            <a:graphic>
              <a:graphicData uri="http://schemas.openxmlformats.org/drawingml/2006/picture">
                <pic:pic>
                  <pic:nvPicPr>
                    <pic:cNvPr descr="fig_pipeline_semana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3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 salida de cada una, los controles contra fugas y el estado de reproducibilidad.</w:t>
      </w:r>
    </w:p>
    <w:bookmarkEnd w:id="15"/>
    <w:bookmarkStart w:id="16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(acuerdo de uso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 identificador de paciente, de hospitalización 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t xml:space="preserve">Partición por paciente (GroupShuffleSplit), test 20 %, semilla 42, con verificación de pacientes disjuntos; TF-IDF de palabras (1–2-gramas, 60 000 rasgos, mínimo 3 documentos) + TF-IDF de caracteres (3–5, 20 000 rasgos, mínimo 5), escala sublineal;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t xml:space="preserve">Conjunto de datos final en formato Parquet; matrices dispersas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 LinearSVC balanceado; E2 naturaleza del evento, 6 clases multietiqueta, OneVsRest(LinearSVC),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t xml:space="preserve">Modelo final serializado (10.7 MB, fuera de git por el acuerdo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corpus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t xml:space="preserve">JSON de resultados finales; JSON de métricas corregidas; JSON de sistema contra experto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(prototipo)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</w:t>
      </w:r>
      <w:r>
        <w:t xml:space="preserve"> </w:t>
      </w:r>
      <w:r>
        <w:rPr>
          <w:b/>
          <w:bCs/>
        </w:rPr>
        <w:t xml:space="preserve">nunca se ejecutó</w:t>
      </w:r>
      <w:r>
        <w:t xml:space="preserve"> </w:t>
      </w:r>
      <w:r>
        <w:t xml:space="preserve">y queda fuera de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 paciente aparece a la vez en train y test. En la Fase 4 se comprobó que el split por paciente no degrada el rendimiento (F1-macro 0.492 ± 0.018) y desde entonces es obligatorio. Desarrollo y ajuste se hacen con validación cruzada de 5 pliegues dentro del train; el test se toca una sola vez; el panel experto y el corpus ERSP actúan como evaluación externa.</w:t>
      </w:r>
    </w:p>
    <w:bookmarkEnd w:id="16"/>
    <w:bookmarkStart w:id="20" w:name="X83a24b85269e57e603e42aa75c0a5185f426457"/>
    <w:p>
      <w:pPr>
        <w:pStyle w:val="Heading1"/>
      </w:pPr>
      <w:r>
        <w:t xml:space="preserve">3. Proceso de obtención de la base de datos MIMIC-IV</w:t>
      </w:r>
    </w:p>
    <w:p>
      <w:pPr>
        <w:pStyle w:val="FirstParagraph"/>
      </w:pPr>
      <w:r>
        <w:t xml:space="preserve">MIMIC-IV no se descarga libremente: PhysioNet (MIT) exige acreditación personal, formación en ética de investigación y un acuerdo de uso de datos. El proceso completo, con fechas y tiempos, fue el siguiente.</w:t>
      </w:r>
    </w:p>
    <w:p>
      <w:pPr>
        <w:pStyle w:val="CaptionedFigure"/>
      </w:pPr>
      <w:r>
        <w:drawing>
          <wp:inline>
            <wp:extent cx="5120640" cy="3252894"/>
            <wp:effectExtent b="0" l="0" r="0" t="0"/>
            <wp:docPr descr="Proceso de obtención de MIMIC-IV: pasos, requisitos cumplidos y tiempos." title="" id="18" name="Picture"/>
            <a:graphic>
              <a:graphicData uri="http://schemas.openxmlformats.org/drawingml/2006/picture">
                <pic:pic>
                  <pic:nvPicPr>
                    <pic:cNvPr descr="fig_acceso_mimi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5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de obtención de MIMIC-IV: pasos, requisitos cumplidos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Qué se hizo</w:t>
            </w:r>
          </w:p>
        </w:tc>
        <w:tc>
          <w:tcPr/>
          <w:p>
            <w:pPr>
              <w:pStyle w:val="Compact"/>
            </w:pPr>
            <w:r>
              <w:t xml:space="preserve">Requisito que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Decisión de la fuente</w:t>
            </w:r>
          </w:p>
        </w:tc>
        <w:tc>
          <w:tcPr/>
          <w:p>
            <w:pPr>
              <w:pStyle w:val="Compact"/>
            </w:pPr>
            <w:r>
              <w:t xml:space="preserve">27–28 abr 2026</w:t>
            </w:r>
          </w:p>
        </w:tc>
        <w:tc>
          <w:tcPr/>
          <w:p>
            <w:pPr>
              <w:pStyle w:val="Compact"/>
            </w:pPr>
            <w:r>
              <w:t xml:space="preserve">Sin acceso a historias clínicas de EsSalud, MIMIC-IV pasa de plan B a dataset principal</w:t>
            </w:r>
          </w:p>
        </w:tc>
        <w:tc>
          <w:tcPr/>
          <w:p>
            <w:pPr>
              <w:pStyle w:val="Compact"/>
            </w:pPr>
            <w:r>
              <w:t xml:space="preserve">Viabilidad del 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Registro en PhysioNet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Cuenta con nombre real y afiliación académica</w:t>
            </w:r>
          </w:p>
        </w:tc>
        <w:tc>
          <w:tcPr/>
          <w:p>
            <w:pPr>
              <w:pStyle w:val="Compact"/>
            </w:pPr>
            <w:r>
              <w:t xml:space="preserve">Identidad y afiliación verificables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Certificación ética CITI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Curso «Data or Specimens Only Research» (MIT Affiliates), nota 95/100 (mínimo 90); segundo curso «Ética en Investigación» bajo EsSalud, nota 96/100. Ambos vigentes hasta el 28 abr 2029</w:t>
            </w:r>
          </w:p>
        </w:tc>
        <w:tc>
          <w:tcPr/>
          <w:p>
            <w:pPr>
              <w:pStyle w:val="Compact"/>
            </w:pPr>
            <w:r>
              <w:t xml:space="preserve">Formación en protección de sujetos humanos y HIPAA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Solicitud de acceso y acuerdo de uso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Solicitud de</w:t>
            </w:r>
            <w:r>
              <w:t xml:space="preserve"> </w:t>
            </w:r>
            <w:r>
              <w:rPr>
                <w:i/>
                <w:iCs/>
              </w:rPr>
              <w:t xml:space="preserve">credentialed access</w:t>
            </w:r>
            <w:r>
              <w:t xml:space="preserve"> </w:t>
            </w:r>
            <w:r>
              <w:t xml:space="preserve">y firma del</w:t>
            </w:r>
            <w:r>
              <w:t xml:space="preserve"> </w:t>
            </w:r>
            <w:r>
              <w:rPr>
                <w:i/>
                <w:iCs/>
              </w:rPr>
              <w:t xml:space="preserve">Credentialed Health Data Use Agreement</w:t>
            </w:r>
            <w:r>
              <w:t xml:space="preserve"> </w:t>
            </w:r>
            <w:r>
              <w:t xml:space="preserve">v1.5.0 para MIMIC-IV v3.1</w:t>
            </w:r>
          </w:p>
        </w:tc>
        <w:tc>
          <w:tcPr/>
          <w:p>
            <w:pPr>
              <w:pStyle w:val="Compact"/>
            </w:pPr>
            <w:r>
              <w:t xml:space="preserve">No reidentificar, no redistribuir, no compartir texto, citar el DOI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Acceso confirmado a MIMIC-IV v3.1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Módulos hosp e icu: 364 627 pacientes, 546 028 hospitalizaciones, 94 458 estancias en UCI (DOI 10.13026/kpb9-mt58)</w:t>
            </w:r>
          </w:p>
        </w:tc>
        <w:tc>
          <w:tcPr/>
          <w:p>
            <w:pPr>
              <w:pStyle w:val="Compact"/>
            </w:pPr>
            <w:r>
              <w:t xml:space="preserve">Acceso otorgado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Acuerdo específico de MIMIC-IV-Note v2.2</w:t>
            </w:r>
          </w:p>
        </w:tc>
        <w:tc>
          <w:tcPr/>
          <w:p>
            <w:pPr>
              <w:pStyle w:val="Compact"/>
            </w:pPr>
            <w:r>
              <w:t xml:space="preserve">10–11 may 2026</w:t>
            </w:r>
          </w:p>
        </w:tc>
        <w:tc>
          <w:tcPr/>
          <w:p>
            <w:pPr>
              <w:pStyle w:val="Compact"/>
            </w:pPr>
            <w:r>
              <w:t xml:space="preserve">Las notas clínicas tienen su propio acuerdo de uso (DOI 10.13026/1n74-ne17); descarga de 4 archivos comprimidos = 1.96 GB (epicrisis 1.14 GB; radiología 781 MB; dos archivos de metadatos)</w:t>
            </w:r>
          </w:p>
        </w:tc>
        <w:tc>
          <w:tcPr/>
          <w:p>
            <w:pPr>
              <w:pStyle w:val="Compact"/>
            </w:pPr>
            <w:r>
              <w:t xml:space="preserve">Acceso al texto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Entorno y primera lectura</w:t>
            </w:r>
          </w:p>
        </w:tc>
        <w:tc>
          <w:tcPr/>
          <w:p>
            <w:pPr>
              <w:pStyle w:val="Compact"/>
            </w:pPr>
            <w:r>
              <w:t xml:space="preserve">11 may 2026</w:t>
            </w:r>
          </w:p>
        </w:tc>
        <w:tc>
          <w:tcPr/>
          <w:p>
            <w:pPr>
              <w:pStyle w:val="Compact"/>
            </w:pPr>
            <w:r>
              <w:t xml:space="preserve">Python 3.13.5 + DuckDB 1.5.2 leen los archivos comprimidos sin cargarlos a memoria; consulta de verificación: 331 793 epicrisis, 100 % del tipo</w:t>
            </w:r>
            <w:r>
              <w:t xml:space="preserve"> </w:t>
            </w:r>
            <w:r>
              <w:rPr>
                <w:i/>
                <w:iCs/>
              </w:rPr>
              <w:t xml:space="preserve">discharge summary</w:t>
            </w:r>
            <w:r>
              <w:t xml:space="preserve">, consistente con el artículo oficial del dataset</w:t>
            </w:r>
          </w:p>
        </w:tc>
        <w:tc>
          <w:tcPr/>
          <w:p>
            <w:pPr>
              <w:pStyle w:val="Compact"/>
            </w:pPr>
            <w:r>
              <w:t xml:space="preserve">Lectura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Integridad del dataset completo</w:t>
            </w:r>
          </w:p>
        </w:tc>
        <w:tc>
          <w:tcPr/>
          <w:p>
            <w:pPr>
              <w:pStyle w:val="Compact"/>
            </w:pPr>
            <w:r>
              <w:t xml:space="preserve">14 may 2026</w:t>
            </w:r>
          </w:p>
        </w:tc>
        <w:tc>
          <w:tcPr/>
          <w:p>
            <w:pPr>
              <w:pStyle w:val="Compact"/>
            </w:pPr>
            <w:r>
              <w:t xml:space="preserve">Descarga y descompresión de los 33 archivos de MIMIC-IV v3.1; verificación SHA-256 contra el listado oficial: 33/33 íntegros; datos en disco local y excluidos del control de versiones</w:t>
            </w:r>
          </w:p>
        </w:tc>
        <w:tc>
          <w:tcPr/>
          <w:p>
            <w:pPr>
              <w:pStyle w:val="Compact"/>
            </w:pPr>
            <w:r>
              <w:t xml:space="preserve">Integridad y cumplimiento del acuerdo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Tiempos.</w:t>
      </w:r>
      <w:r>
        <w:t xml:space="preserve"> </w:t>
      </w:r>
      <w:r>
        <w:t xml:space="preserve">Registro, cursos de ética, acuerdo de uso y acceso a MIMIC-IV:</w:t>
      </w:r>
      <w:r>
        <w:t xml:space="preserve"> </w:t>
      </w:r>
      <w:r>
        <w:rPr>
          <w:b/>
          <w:bCs/>
        </w:rPr>
        <w:t xml:space="preserve">1 día</w:t>
      </w:r>
      <w:r>
        <w:t xml:space="preserve"> </w:t>
      </w:r>
      <w:r>
        <w:t xml:space="preserve">(28 de abril de 2026). Desde el acceso principal hasta el acuerdo de notas y la descarga de 1.96 GB:</w:t>
      </w:r>
      <w:r>
        <w:t xml:space="preserve"> </w:t>
      </w:r>
      <w:r>
        <w:rPr>
          <w:b/>
          <w:bCs/>
        </w:rPr>
        <w:t xml:space="preserve">13 días</w:t>
      </w:r>
      <w:r>
        <w:t xml:space="preserve">. Desde la decisión del dataset hasta el corpus completo verificado:</w:t>
      </w:r>
      <w:r>
        <w:t xml:space="preserve"> </w:t>
      </w:r>
      <w:r>
        <w:rPr>
          <w:b/>
          <w:bCs/>
        </w:rPr>
        <w:t xml:space="preserve">17 días</w:t>
      </w:r>
      <w:r>
        <w:t xml:space="preserve"> </w:t>
      </w:r>
      <w:r>
        <w:t xml:space="preserve">(27 de abril al 14 de mayo).</w:t>
      </w:r>
      <w:r>
        <w:t xml:space="preserve"> </w:t>
      </w:r>
      <w:r>
        <w:rPr>
          <w:b/>
          <w:bCs/>
        </w:rPr>
        <w:t xml:space="preserve">Costo:</w:t>
      </w:r>
      <w:r>
        <w:t xml:space="preserve"> </w:t>
      </w:r>
      <w:r>
        <w:t xml:space="preserve">S/ 0; el acceso es gratuito con acreditación.</w:t>
      </w:r>
    </w:p>
    <w:p>
      <w:pPr>
        <w:pStyle w:val="BodyText"/>
      </w:pPr>
      <w:r>
        <w:rPr>
          <w:b/>
          <w:bCs/>
        </w:rPr>
        <w:t xml:space="preserve">Requisitos adicionales que el proyecto se impuso:</w:t>
      </w:r>
      <w:r>
        <w:t xml:space="preserve"> </w:t>
      </w:r>
      <w:r>
        <w:t xml:space="preserve">segunda certificación ética bajo EsSalud (no exigida por PhysioNet, añadida por la afiliación institucional del autor); declaración explícita de conflicto de interés (autor del Modelo GEMSES y ex directivo de la instancia de EsSalud que emite la Directiva); acceso al texto de MIMIC-IV restringido al investigador principal, único acreditado; y exclusión de todo dato, modelo entrenado y copia de trabajo del repositorio de código.</w:t>
      </w:r>
    </w:p>
    <w:bookmarkEnd w:id="20"/>
    <w:bookmarkStart w:id="21" w:name="X7a489f429bc6ac4f4b8abba25b515ce994c4053"/>
    <w:p>
      <w:pPr>
        <w:pStyle w:val="Heading1"/>
      </w:pPr>
      <w:r>
        <w:t xml:space="preserve">4.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 validación experta de mayo), y TF-IDF + regresión logística (Fase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la Fase 9 (29-jul-2026).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s; BioClinical ModernBERT con ventana de 1024 tokens 0.428 tras 42.5 h de GPU;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(dice sí a todo). Causa medida: la ventana de 256 tokens cubre el 9 % de una epicrisis (mediana 3 148 tokens). Se documenta como resultado negativo; solo se reabriría con Longformer o BigBird y GPU dedicada.</w:t>
      </w:r>
    </w:p>
    <w:bookmarkEnd w:id="21"/>
    <w:bookmarkStart w:id="22" w:name="criterio-preliminar-de-evaluación"/>
    <w:p>
      <w:pPr>
        <w:pStyle w:val="Heading1"/>
      </w:pPr>
      <w:r>
        <w:t xml:space="preserve">5. Criterio preliminar de evaluación</w:t>
      </w:r>
    </w:p>
    <w:p>
      <w:pPr>
        <w:pStyle w:val="FirstParagraph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fijado en la hipótesis general del proyecto)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bookmarkEnd w:id="22"/>
    <w:bookmarkStart w:id="23" w:name="reproducibilidad"/>
    <w:p>
      <w:pPr>
        <w:pStyle w:val="Heading1"/>
      </w:pPr>
      <w:r>
        <w:t xml:space="preserve">6.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 el archivo de dependencias.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archivo JSON de resultados por fase, más bitácoras fechadas por sesión. Cada cifra del borrador de tesis lleva un comentario con el archivo del que proviene, verificado por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t xml:space="preserve">modelo final serializado, conjunto de datos final (Parquet), JSON de resultados finales y JSON de métricas corregidas. Modelo y datos quedan fuera de git por el acuerdo de uso;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honesto (verificado el 25-set-2026):</w:t>
      </w:r>
      <w:r>
        <w:t xml:space="preserve"> </w:t>
      </w:r>
      <w:r>
        <w:t xml:space="preserve">no existe aún un archivo de dependencias con versiones fijadas, ni plantilla de variables de entorno, ni un orquestador que encadene las fases, ni la estructura data/raw y data/processed; hay 46 scripts, uno por fase;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guardaron (solo son reproducibles reentrenando).</w:t>
      </w:r>
      <w:r>
        <w:t xml:space="preserve"> </w:t>
      </w:r>
      <w:r>
        <w:rPr>
          <w:b/>
          <w:bCs/>
        </w:rPr>
        <w:t xml:space="preserve">Sprint 1 del curso</w:t>
      </w:r>
      <w:r>
        <w:t xml:space="preserve"> </w:t>
      </w:r>
      <w:r>
        <w:t xml:space="preserve">= cerrar exactamente esto, con criterio de aceptación medible: que un tercero con credencial PhysioNet regenere la Fase 9 con un solo comando y obtenga sens 0.7623, esp 0.7699 y AUC 0.8426 con tolerancia ± 0.005.</w:t>
      </w:r>
    </w:p>
    <w:bookmarkEnd w:id="23"/>
    <w:bookmarkStart w:id="24" w:name="Xb82c3b42f188a5a28afc4a28647cfe89e93b4c6"/>
    <w:p>
      <w:pPr>
        <w:pStyle w:val="Heading1"/>
      </w:pPr>
      <w:r>
        <w:t xml:space="preserve">7.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Fase 7: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la cifra 0.973 queda retirada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 paciente con verificación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Fases 4 y 9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Acuerdo de uso PhysioNet; incidente del 28-jul con datos personales del corpus ERSP</w:t>
            </w:r>
          </w:p>
        </w:tc>
        <w:tc>
          <w:tcPr/>
          <w:p>
            <w:pPr>
              <w:pStyle w:val="Compact"/>
            </w:pPr>
            <w:r>
              <w:t xml:space="preserve">Modelo y datos fuera de git; repositorio privado e historial reescrito; comunicaciones formales 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24"/>
    <w:bookmarkStart w:id="25" w:name="verificación-contra-la-guía-sección-11"/>
    <w:p>
      <w:pPr>
        <w:pStyle w:val="Heading1"/>
      </w:pPr>
      <w:r>
        <w:t xml:space="preserve">8. Verificación contra la guía (sección 11)</w:t>
      </w:r>
    </w:p>
    <w:p>
      <w:pPr>
        <w:pStyle w:val="FirstParagraph"/>
      </w:pPr>
      <w:r>
        <w:t xml:space="preserve">Diagrama acorde al tipo de tesis, entradas y salidas por etapa, criterio de resultado correcto, registro para reproducir, separación desarrollo/evaluación y riesgos (diez): cubiertos en las secciones 1 a 7. Alcance ejecutable con los recursos del curso:</w:t>
      </w:r>
      <w:r>
        <w:t xml:space="preserve"> </w:t>
      </w:r>
      <w:r>
        <w:rPr>
          <w:b/>
          <w:bCs/>
        </w:rPr>
        <w:t xml:space="preserve">[juicio técnico]</w:t>
      </w:r>
      <w:r>
        <w:t xml:space="preserve"> </w:t>
      </w:r>
      <w:r>
        <w:t xml:space="preserve">sí, porque el modelo ya existe, el acceso a los datos está vigente hasta 2029 y el Sprint 1 es de reproducibilidad, no de modelado.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2026-09-25T21:40:03Z</dcterms:created>
  <dcterms:modified xsi:type="dcterms:W3CDTF">2026-09-25T21:40:03Z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