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Entregable Semana 2 — Diseño reproducible del flujo experimental</w:t>
      </w:r>
    </w:p>
    <w:p>
      <w:pPr>
        <w:pStyle w:val="Subtitle"/>
      </w:pPr>
      <w:r>
        <w:t xml:space="preserve">Detección automatizada y priorización de eventos adversos en epicrisis (MIMIC-IV) mediante NLP y aprendizaje supervisado, con la Matriz de Priorización GEMSES</w:t>
      </w:r>
    </w:p>
    <w:p>
      <w:pPr>
        <w:pStyle w:val="Author"/>
      </w:pPr>
      <w:r>
        <w:t xml:space="preserve">Carlos Pérez Pérez · Maestría en Inteligencia Artificial, FIIS-UNI · Trabajo de Investigación II (MIA-14, Sección B) · Docente: Dr. Ing. Glen Rodríguez Rafael</w:t>
      </w:r>
    </w:p>
    <w:p>
      <w:pPr>
        <w:pStyle w:val="Date"/>
      </w:pPr>
      <w:r>
        <w:t xml:space="preserve">25 de septiembre de 2026</w:t>
      </w:r>
    </w:p>
    <w:p>
      <w:pPr>
        <w:pStyle w:val="FirstParagraph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Este diseño no parte de cero. Es la continuación de Trabajo de Investigación I (MIA-303, Mg. María Tejada, cerrado el 14-jul-2026) e integra en un solo flujo lo aprendido en tres frentes: la tesis (Fases 3v2 a 13), el curso de PLN (MIA-10, auditoría adversarial de 26 hallazgos) y GEM·VigIA (corpus ERSP de EsSalud en producción). Cada cifra sale de un archivo de resultados del repositorio de la tesis (fuente única); las cifras que el propio proceso invalidó no se citan. Lo que es criterio propio va rotulado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.</w:t>
      </w:r>
    </w:p>
    <w:bookmarkStart w:id="12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334000" cy="3460937"/>
            <wp:effectExtent b="0" l="0" r="0" t="0"/>
            <wp:docPr descr="Pipeline reproducible en seis etapas, con las salidas de cada una, los controles contra fugas y el estado de reproducibilidad." title="" id="10" name="Picture"/>
            <a:graphic>
              <a:graphicData uri="http://schemas.openxmlformats.org/drawingml/2006/picture">
                <pic:pic>
                  <pic:nvPicPr>
                    <pic:cNvPr descr="fig_pipeline_semana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las salidas de cada una, los controles contra fugas y el estado de reproducibilidad.</w:t>
      </w:r>
    </w:p>
    <w:bookmarkEnd w:id="12"/>
    <w:bookmarkStart w:id="13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(DUA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hadm_id</w:t>
            </w:r>
            <w:r>
              <w:t xml:space="preserve"> </w:t>
            </w:r>
            <w:r>
              <w:t xml:space="preserve">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 (</w:t>
            </w:r>
            <w:r>
              <w:rPr>
                <w:rStyle w:val="VerbatimChar"/>
              </w:rPr>
              <w:t xml:space="preserve">fase3_v2/ablacion_final.json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 (</w:t>
            </w:r>
            <w:r>
              <w:rPr>
                <w:rStyle w:val="VerbatimChar"/>
              </w:rPr>
              <w:t xml:space="preserve">fase9_final/resultados_finales.json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GroupShuffleSplit</w:t>
            </w:r>
            <w:r>
              <w:t xml:space="preserve"> </w:t>
            </w:r>
            <w:r>
              <w:t xml:space="preserve">por paciente, test 20 %, semilla 42, 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  <w:r>
              <w:t xml:space="preserve"> </w:t>
            </w:r>
            <w:r>
              <w:t xml:space="preserve">de pacientes disjuntos; TF-IDF de palabras (1–2-gramas, 60 000 rasgos,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3) + TF-IDF de caracteres</w:t>
            </w:r>
            <w:r>
              <w:t xml:space="preserve"> </w:t>
            </w:r>
            <w:r>
              <w:rPr>
                <w:rStyle w:val="VerbatimChar"/>
              </w:rPr>
              <w:t xml:space="preserve">char_wb</w:t>
            </w:r>
            <w:r>
              <w:t xml:space="preserve"> </w:t>
            </w:r>
            <w:r>
              <w:t xml:space="preserve">(3–5, 20 000,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5),</w:t>
            </w:r>
            <w:r>
              <w:t xml:space="preserve"> </w:t>
            </w:r>
            <w:r>
              <w:rPr>
                <w:rStyle w:val="VerbatimChar"/>
              </w:rPr>
              <w:t xml:space="preserve">sublinear_tf</w:t>
            </w:r>
            <w:r>
              <w:t xml:space="preserve">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dataset_final.parquet</w:t>
            </w:r>
            <w:r>
              <w:t xml:space="preserve">; matrices dispersas (</w:t>
            </w:r>
            <w:r>
              <w:rPr>
                <w:rStyle w:val="VerbatimChar"/>
              </w:rPr>
              <w:t xml:space="preserve">fase9_modelo_final.py</w:t>
            </w:r>
            <w:r>
              <w:t xml:space="preserve">, líneas 223–250)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</w:t>
            </w:r>
            <w:r>
              <w:t xml:space="preserve"> </w:t>
            </w:r>
            <w:r>
              <w:rPr>
                <w:rStyle w:val="VerbatimChar"/>
              </w:rPr>
              <w:t xml:space="preserve">LinearSVC(class_weight="balanced")</w:t>
            </w:r>
            <w:r>
              <w:t xml:space="preserve">; E2 naturaleza del evento, 6 clases multietiqueta,</w:t>
            </w:r>
            <w:r>
              <w:t xml:space="preserve"> </w:t>
            </w:r>
            <w:r>
              <w:rPr>
                <w:rStyle w:val="VerbatimChar"/>
              </w:rPr>
              <w:t xml:space="preserve">OneVsRest(LinearSVC)</w:t>
            </w:r>
            <w:r>
              <w:t xml:space="preserve">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modelo_final.pkl</w:t>
            </w:r>
            <w:r>
              <w:t xml:space="preserve"> </w:t>
            </w:r>
            <w:r>
              <w:t xml:space="preserve">(10.7 MB, fuera de git por el DUA)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resultados_finales.json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fase12/sistema_vs_experto.json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</w:t>
            </w:r>
            <w:r>
              <w:rPr>
                <w:rStyle w:val="VerbatimChar"/>
              </w:rPr>
              <w:t xml:space="preserve">05_prototipo_app/motor_v2.py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gemses_priorizacion.py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</w:t>
      </w:r>
      <w:r>
        <w:t xml:space="preserve"> </w:t>
      </w:r>
      <w:r>
        <w:rPr>
          <w:b/>
          <w:bCs/>
        </w:rPr>
        <w:t xml:space="preserve">nunca se ejecutó</w:t>
      </w:r>
      <w:r>
        <w:t xml:space="preserve"> </w:t>
      </w:r>
      <w:r>
        <w:t xml:space="preserve">y queda fuera de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 </w:t>
      </w:r>
      <w:r>
        <w:t xml:space="preserve">aparece a la vez en train y test. En la Fase 4 se comprobó que el split por paciente no degrada el rendimiento (F1-macro 0.492 ± 0.018) y desde entonces es obligatorio (</w:t>
      </w:r>
      <w:r>
        <w:rPr>
          <w:rStyle w:val="VerbatimChar"/>
        </w:rPr>
        <w:t xml:space="preserve">fase4/RESULTADOS_FASE4.md</w:t>
      </w:r>
      <w:r>
        <w:t xml:space="preserve">). Desarrollo y ajuste se hacen con validación cruzada de 5 pliegues dentro del train; el test se toca una sola vez; el panel experto y el corpus ERSP actúan como evaluación externa.</w:t>
      </w:r>
    </w:p>
    <w:bookmarkEnd w:id="13"/>
    <w:bookmarkStart w:id="14" w:name="X7a489f429bc6ac4f4b8abba25b515ce994c4053"/>
    <w:p>
      <w:pPr>
        <w:pStyle w:val="Heading1"/>
      </w:pPr>
      <w:r>
        <w:t xml:space="preserve">3.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</w:t>
      </w:r>
      <w:r>
        <w:t xml:space="preserve"> </w:t>
      </w:r>
      <w:r>
        <w:rPr>
          <w:rStyle w:val="VerbatimChar"/>
        </w:rPr>
        <w:t xml:space="preserve">05_validacion_experta/REPORTE_VALIDACION_70_EVENTOS.md</w:t>
      </w:r>
      <w:r>
        <w:t xml:space="preserve">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 (</w:t>
      </w:r>
      <w:r>
        <w:rPr>
          <w:rStyle w:val="VerbatimChar"/>
        </w:rPr>
        <w:t xml:space="preserve">fase11/resultados_transformers.json</w:t>
      </w:r>
      <w:r>
        <w:t xml:space="preserve">); BioClinical ModernBERT con ventana de 1024 tokens 0.428 tras 42.5 h de GPU (</w:t>
      </w:r>
      <w:r>
        <w:rPr>
          <w:rStyle w:val="VerbatimChar"/>
        </w:rPr>
        <w:t xml:space="preserve">fase13/modernbert_final.json</w:t>
      </w:r>
      <w:r>
        <w:t xml:space="preserve">);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(dice sí a todo,</w:t>
      </w:r>
      <w:r>
        <w:t xml:space="preserve"> </w:t>
      </w:r>
      <w:r>
        <w:rPr>
          <w:rStyle w:val="VerbatimChar"/>
        </w:rPr>
        <w:t xml:space="preserve">fase13/llm_local_vs_experto.json</w:t>
      </w:r>
      <w:r>
        <w:t xml:space="preserve">). Causa medida: la ventana de 256 tokens cubre el 9 % de una epicrisis (mediana 3 148 tokens). Se documenta como resultado negativo; solo se reabriría con Longformer o BigBird y GPU dedicada.</w:t>
      </w:r>
    </w:p>
    <w:bookmarkEnd w:id="14"/>
    <w:bookmarkStart w:id="15" w:name="criterio-preliminar-de-evaluación"/>
    <w:p>
      <w:pPr>
        <w:pStyle w:val="Heading1"/>
      </w:pPr>
      <w:r>
        <w:t xml:space="preserve">4. Criterio preliminar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 (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de la hipótesis general,</w:t>
            </w:r>
            <w:r>
              <w:t xml:space="preserve"> </w:t>
            </w:r>
            <w:r>
              <w:rPr>
                <w:rStyle w:val="VerbatimChar"/>
              </w:rPr>
              <w:t xml:space="preserve">Capitulo3.tex:321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p>
      <w:pPr>
        <w:pStyle w:val="BodyText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bookmarkEnd w:id="15"/>
    <w:bookmarkStart w:id="16" w:name="reproducibilidad"/>
    <w:p>
      <w:pPr>
        <w:pStyle w:val="Heading1"/>
      </w:pPr>
      <w:r>
        <w:t xml:space="preserve">5.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= 42</w:t>
      </w:r>
      <w:r>
        <w:t xml:space="preserve">,</w:t>
      </w:r>
      <w:r>
        <w:t xml:space="preserve"> </w:t>
      </w:r>
      <w:r>
        <w:rPr>
          <w:rStyle w:val="VerbatimChar"/>
        </w:rPr>
        <w:t xml:space="preserve">fase9_modelo_final.py:93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JSON de resultados por fase en</w:t>
      </w:r>
      <w:r>
        <w:t xml:space="preserve"> </w:t>
      </w:r>
      <w:r>
        <w:rPr>
          <w:rStyle w:val="VerbatimChar"/>
        </w:rPr>
        <w:t xml:space="preserve">04_pipeline_codigo/datos_intermedios/fase*/</w:t>
      </w:r>
      <w:r>
        <w:t xml:space="preserve">, más bitácoras fechadas en</w:t>
      </w:r>
      <w:r>
        <w:t xml:space="preserve"> </w:t>
      </w:r>
      <w:r>
        <w:rPr>
          <w:rStyle w:val="VerbatimChar"/>
        </w:rPr>
        <w:t xml:space="preserve">07_bitacoras/</w:t>
      </w:r>
      <w:r>
        <w:t xml:space="preserve">. Cada cifra del borrador de tesis lleva un comentario</w:t>
      </w:r>
      <w:r>
        <w:t xml:space="preserve"> </w:t>
      </w:r>
      <w:r>
        <w:rPr>
          <w:rStyle w:val="VerbatimChar"/>
        </w:rPr>
        <w:t xml:space="preserve">% fuente:</w:t>
      </w:r>
      <w:r>
        <w:t xml:space="preserve"> </w:t>
      </w:r>
      <w:r>
        <w:t xml:space="preserve">con su archivo.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rPr>
          <w:rStyle w:val="VerbatimChar"/>
        </w:rPr>
        <w:t xml:space="preserve">modelo_final.pkl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dataset_final.parquet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resultados_finales.json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metricas_corregidas.json</w:t>
      </w:r>
      <w:r>
        <w:t xml:space="preserve">. Modelo y datos quedan fuera de git por el DUA;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honesto (verificado en disco el 25-set-2026):</w:t>
      </w:r>
      <w:r>
        <w:t xml:space="preserve"> </w:t>
      </w:r>
      <w:r>
        <w:t xml:space="preserve">no existen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data/processed</w:t>
      </w:r>
      <w:r>
        <w:t xml:space="preserve">; hay 46 scripts, uno por fase, sin orquestador;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guardaron (solo son reproducibles reentrenando).</w:t>
      </w:r>
      <w:r>
        <w:t xml:space="preserve"> </w:t>
      </w:r>
      <w:r>
        <w:rPr>
          <w:b/>
          <w:bCs/>
        </w:rPr>
        <w:t xml:space="preserve">Sprint 1 del curso</w:t>
      </w:r>
      <w:r>
        <w:t xml:space="preserve"> </w:t>
      </w:r>
      <w:r>
        <w:t xml:space="preserve">= cerrar exactamente esto, con criterio de aceptación medible: que un tercero con credencial PhysioNet regenere la Fase 9 con un solo comando y obtenga sens 0.7623, esp 0.7699 y AUC 0.8426 con tolerancia ± 0.005.</w:t>
      </w:r>
    </w:p>
    <w:bookmarkEnd w:id="16"/>
    <w:bookmarkStart w:id="17" w:name="Xb82c3b42f188a5a28afc4a28647cfe89e93b4c6"/>
    <w:p>
      <w:pPr>
        <w:pStyle w:val="Heading1"/>
      </w:pPr>
      <w:r>
        <w:t xml:space="preserve">6.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la cifra 0.973 queda retirada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DUA PhysioNet; incidente del 28-jul (repo público con DNI de ERSP)</w:t>
            </w:r>
          </w:p>
        </w:tc>
        <w:tc>
          <w:tcPr/>
          <w:p>
            <w:pPr>
              <w:pStyle w:val="Compact"/>
            </w:pPr>
            <w:r>
              <w:t xml:space="preserve">Modelo y datos fuera de git; repo privado e historial reescrito; ticket a GitHub y aviso al DPO de EsSalud</w:t>
            </w:r>
            <w:r>
              <w:t xml:space="preserve"> </w:t>
            </w:r>
            <w:r>
              <w:rPr>
                <w:b/>
                <w:bCs/>
              </w:rP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17"/>
    <w:bookmarkStart w:id="18" w:name="verificación-contra-la-guía-sección-11"/>
    <w:p>
      <w:pPr>
        <w:pStyle w:val="Heading1"/>
      </w:pPr>
      <w:r>
        <w:t xml:space="preserve">7. Verificación contra la guía (sección 11)</w:t>
      </w:r>
    </w:p>
    <w:p>
      <w:pPr>
        <w:pStyle w:val="FirstParagraph"/>
      </w:pPr>
      <w:r>
        <w:t xml:space="preserve">Diagrama acorde al tipo de tesis, entradas y salidas por etapa, criterio de resultado correcto, registro para reproducir, separación desarrollo/evaluación y riesgos (diez): cubiertos en las secciones 1 a 6. Alcance ejecutable con los recursos del curso: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 </w:t>
      </w:r>
      <w:r>
        <w:t xml:space="preserve">sí, porque el modelo ya existe y el Sprint 1 es de reproducibilidad, no de modelado.</w:t>
      </w:r>
    </w:p>
    <w:p>
      <w:pPr>
        <w:pStyle w:val="BodyText"/>
      </w:pPr>
      <w:r>
        <w:rPr>
          <w:b/>
          <w:bCs/>
        </w:rPr>
        <w:t xml:space="preserve">Fuentes abiertas para este entregable:</w:t>
      </w:r>
      <w:r>
        <w:t xml:space="preserve"> </w:t>
      </w:r>
      <w:r>
        <w:rPr>
          <w:rStyle w:val="VerbatimChar"/>
        </w:rPr>
        <w:t xml:space="preserve">11_proyecto_II/01_INVENTARIO_MODELOS_Y_CHECKLIST_2026-09-18.md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02_ESTADO_DE_AVANCE_COMPLETO_2026-09-18.md</w:t>
      </w:r>
      <w:r>
        <w:t xml:space="preserve">;</w:t>
      </w:r>
      <w:r>
        <w:t xml:space="preserve"> </w:t>
      </w:r>
      <w:r>
        <w:rPr>
          <w:rStyle w:val="VerbatimChar"/>
        </w:rPr>
        <w:t xml:space="preserve">04_pipeline_codigo/fase9_modelo_final.py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fase10_metricas_corregidas.py</w:t>
      </w:r>
      <w:r>
        <w:t xml:space="preserve">; los JSON citados en</w:t>
      </w:r>
      <w:r>
        <w:t xml:space="preserve"> </w:t>
      </w:r>
      <w:r>
        <w:rPr>
          <w:rStyle w:val="VerbatimChar"/>
        </w:rPr>
        <w:t xml:space="preserve">04_pipeline_codigo/datos_intermedios/</w:t>
      </w:r>
      <w:r>
        <w:t xml:space="preserve">;</w:t>
      </w:r>
      <w:r>
        <w:t xml:space="preserve"> </w:t>
      </w:r>
      <w:r>
        <w:rPr>
          <w:rStyle w:val="VerbatimChar"/>
        </w:rPr>
        <w:t xml:space="preserve">latex_tesis/3_1_CAPITULO_MARCO_TEORICO/Capitulo3.tex</w:t>
      </w:r>
      <w:r>
        <w:t xml:space="preserve">; Directiva N.º 7-OGCyH-ESSALUD-2020 (RGG 402-GG-ESSALUD-2020), Anexos 02 y 03. Todo en el repositorio de la tesis</w:t>
      </w:r>
      <w:r>
        <w:t xml:space="preserve"> </w:t>
      </w:r>
      <w:r>
        <w:rPr>
          <w:rStyle w:val="VerbatimChar"/>
        </w:rPr>
        <w:t xml:space="preserve">tesis-gemses-mimic-pipeline</w:t>
      </w:r>
      <w: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Semana 2 — Diseño reproducible del flujo experimental</dc:title>
  <dc:creator>Carlos Pérez Pérez · Maestría en Inteligencia Artificial, FIIS-UNI · Trabajo de Investigación II (MIA-14, Sección B) · Docente: Dr. Ing. Glen Rodríguez Rafael</dc:creator>
  <dc:language>es</dc:language>
  <cp:keywords/>
  <dcterms:created xsi:type="dcterms:W3CDTF">2026-09-25T19:21:56Z</dcterms:created>
  <dcterms:modified xsi:type="dcterms:W3CDTF">2026-09-25T19:21:56Z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septiembre de 2026</vt:lpwstr>
  </property>
  <property fmtid="{D5CDD505-2E9C-101B-9397-08002B2CF9AE}" pid="3" name="subtitle">
    <vt:lpwstr>Detección automatizada y priorización de eventos adversos en epicrisis (MIMIC-IV) mediante NLP y aprendizaje supervisado, con la Matriz de Priorización GEMSES</vt:lpwstr>
  </property>
</Properties>
</file>