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Entregable Semana 2 — Diseño reproducible del flujo experimental</w:t>
      </w:r>
    </w:p>
    <w:p>
      <w:pPr>
        <w:pStyle w:val="Subtitle"/>
      </w:pPr>
      <w:r>
        <w:t xml:space="preserve">Detección automatizada y priorización de eventos adversos en epicrisis (MIMIC-IV) mediante NLP y aprendizaje supervisado, con la Matriz de Priorización GEMSES</w:t>
      </w:r>
    </w:p>
    <w:p>
      <w:pPr>
        <w:pStyle w:val="Author"/>
      </w:pPr>
      <w:r>
        <w:t xml:space="preserve">Carlos Pérez Pérez · Maestría en Inteligencia Artificial, FIIS-UNI</w:t>
      </w:r>
    </w:p>
    <w:p>
      <w:pPr>
        <w:pStyle w:val="Date"/>
      </w:pPr>
      <w:r>
        <w:t xml:space="preserve">Trabajo de Investigación II (MIA-14, Sección B) · Docente: Dr. Ing. Glen Rodríguez Rafael · 25 de septiembre de 2026</w:t>
      </w:r>
    </w:p>
    <w:p>
      <w:pPr>
        <w:pStyle w:val="FirstParagraph"/>
      </w:pPr>
      <w:r>
        <w:rPr>
          <w:b/>
          <w:bCs/>
        </w:rPr>
        <w:t xml:space="preserve">Tipo de tesis:</w:t>
      </w:r>
      <w:r>
        <w:t xml:space="preserve"> </w:t>
      </w:r>
      <w:r>
        <w:t xml:space="preserve">aprendizaje supervisado (clasificación de texto clínico), con dos adaptaciones: la etiqueta de entrenamiento es de</w:t>
      </w:r>
      <w:r>
        <w:t xml:space="preserve"> </w:t>
      </w:r>
      <w:r>
        <w:rPr>
          <w:i/>
          <w:iCs/>
        </w:rPr>
        <w:t xml:space="preserve">supervisión débil</w:t>
      </w:r>
      <w:r>
        <w:t xml:space="preserve"> </w:t>
      </w:r>
      <w:r>
        <w:t xml:space="preserve">(códigos CIE-10 causales) y la evaluación se cierra con un panel de expertos y con un corpus en español con etiqueta humana.</w:t>
      </w:r>
    </w:p>
    <w:p>
      <w:pPr>
        <w:pStyle w:val="BodyText"/>
      </w:pPr>
      <w:r>
        <w:rPr>
          <w:b/>
          <w:bCs/>
        </w:rPr>
        <w:t xml:space="preserve">Continuidad.</w:t>
      </w:r>
      <w:r>
        <w:t xml:space="preserve"> </w:t>
      </w:r>
      <w:r>
        <w:t xml:space="preserve">Este diseño no parte de cero. Es la continuación de Trabajo de Investigación I (MIA-303, Mg. María Tejada, cerrado el 14-jul-2026) e integra en un solo flujo lo aprendido en tres frentes: la tesis (Fases 3v2 a 13), el curso de PLN (MIA-10, auditoría adversarial de 26 hallazgos) y GEM·VigIA (corpus ERSP de EsSalud en producción). Cada cifra sale de un archivo de resultados del repositorio de la tesis (fuente única); las cifras que el propio proceso invalidó no se citan. Lo que es criterio propio va rotulado</w:t>
      </w:r>
      <w:r>
        <w:t xml:space="preserve"> </w:t>
      </w:r>
      <w:r>
        <w:rPr>
          <w:b/>
          <w:bCs/>
        </w:rPr>
        <w:t xml:space="preserve">[juicio técnico]</w:t>
      </w:r>
      <w:r>
        <w:t xml:space="preserve">.</w:t>
      </w:r>
    </w:p>
    <w:bookmarkStart w:id="12" w:name="diagrama-del-flujo-principal"/>
    <w:p>
      <w:pPr>
        <w:pStyle w:val="Heading1"/>
      </w:pPr>
      <w:r>
        <w:t xml:space="preserve">1. Diagrama del flujo principal</w:t>
      </w:r>
    </w:p>
    <w:p>
      <w:pPr>
        <w:pStyle w:val="CaptionedFigure"/>
      </w:pPr>
      <w:r>
        <w:drawing>
          <wp:inline>
            <wp:extent cx="5334000" cy="3460937"/>
            <wp:effectExtent b="0" l="0" r="0" t="0"/>
            <wp:docPr descr="Pipeline reproducible en seis etapas, con las salidas de cada una, los controles contra fugas y el estado de reproducibilidad." title="" id="10" name="Picture"/>
            <a:graphic>
              <a:graphicData uri="http://schemas.openxmlformats.org/drawingml/2006/picture">
                <pic:pic>
                  <pic:nvPicPr>
                    <pic:cNvPr descr="fig_pipeline_semana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0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reproducible en seis etapas, con las salidas de cada una, los controles contra fugas y el estado de reproducibilidad.</w:t>
      </w:r>
    </w:p>
    <w:bookmarkEnd w:id="12"/>
    <w:bookmarkStart w:id="13" w:name="X288f691d8149b13965dbf9fed092a1f114938de"/>
    <w:p>
      <w:pPr>
        <w:pStyle w:val="Heading1"/>
      </w:pPr>
      <w:r>
        <w:t xml:space="preserve">2. Entradas, componentes y salida de cada etapa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Recibe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  <w:tc>
          <w:tcPr/>
          <w:p>
            <w:pPr>
              <w:pStyle w:val="Compact"/>
            </w:pPr>
            <w:r>
              <w:t xml:space="preserve">Produce (artefacto reproducible)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Ingesta</w:t>
            </w:r>
          </w:p>
        </w:tc>
        <w:tc>
          <w:tcPr/>
          <w:p>
            <w:pPr>
              <w:pStyle w:val="Compact"/>
            </w:pPr>
            <w:r>
              <w:t xml:space="preserve">MIMIC-IV v3.1 + MIMIC-IV-Note v2.2 (DUA PhysioNet), leídos con DuckDB</w:t>
            </w:r>
          </w:p>
        </w:tc>
        <w:tc>
          <w:tcPr/>
          <w:p>
            <w:pPr>
              <w:pStyle w:val="Compact"/>
            </w:pPr>
            <w:r>
              <w:t xml:space="preserve">Extrae las epicrisis (</w:t>
            </w:r>
            <w:r>
              <w:rPr>
                <w:i/>
                <w:iCs/>
              </w:rPr>
              <w:t xml:space="preserve">discharge summaries</w:t>
            </w:r>
            <w:r>
              <w:t xml:space="preserve">) con</w:t>
            </w:r>
            <w:r>
              <w:t xml:space="preserve"> </w:t>
            </w:r>
            <w:r>
              <w:rPr>
                <w:rStyle w:val="VerbatimChar"/>
              </w:rPr>
              <w:t xml:space="preserve">subject_id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hadm_id</w:t>
            </w:r>
            <w:r>
              <w:t xml:space="preserve"> </w:t>
            </w:r>
            <w:r>
              <w:t xml:space="preserve">y códigos de egreso</w:t>
            </w:r>
          </w:p>
        </w:tc>
        <w:tc>
          <w:tcPr/>
          <w:p>
            <w:pPr>
              <w:pStyle w:val="Compact"/>
            </w:pPr>
            <w:r>
              <w:t xml:space="preserve">331 793 epicrisis de 145 914 pacientes (</w:t>
            </w:r>
            <w:r>
              <w:rPr>
                <w:rStyle w:val="VerbatimChar"/>
              </w:rPr>
              <w:t xml:space="preserve">ablacion_final.json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Preprocesamiento y etiqueta</w:t>
            </w:r>
          </w:p>
        </w:tc>
        <w:tc>
          <w:tcPr/>
          <w:p>
            <w:pPr>
              <w:pStyle w:val="Compact"/>
            </w:pPr>
            <w:r>
              <w:t xml:space="preserve">Epicrisis + diagnósticos codificados</w:t>
            </w:r>
          </w:p>
        </w:tc>
        <w:tc>
          <w:tcPr/>
          <w:p>
            <w:pPr>
              <w:pStyle w:val="Compact"/>
            </w:pPr>
            <w:r>
              <w:t xml:space="preserve">Tier A: 223 códigos CIE-10 causales + 21 equivalencias OMS→CM → etiqueta A1 no circular; emparejamiento de época CIE-9/CIE-10 en los negativos; NegEx y regex Tier B solo como baseline</w:t>
            </w:r>
          </w:p>
        </w:tc>
        <w:tc>
          <w:tcPr/>
          <w:p>
            <w:pPr>
              <w:pStyle w:val="Compact"/>
            </w:pPr>
            <w:r>
              <w:t xml:space="preserve">Corpus de modelado de 70 000 epicrisis con prevalencia real 0.2012 (</w:t>
            </w:r>
            <w:r>
              <w:rPr>
                <w:rStyle w:val="VerbatimChar"/>
              </w:rPr>
              <w:t xml:space="preserve">resultados_finales.json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Partición y features</w:t>
            </w:r>
          </w:p>
        </w:tc>
        <w:tc>
          <w:tcPr/>
          <w:p>
            <w:pPr>
              <w:pStyle w:val="Compact"/>
            </w:pPr>
            <w:r>
              <w:t xml:space="preserve">Corpus de modelado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GroupShuffleSplit</w:t>
            </w:r>
            <w:r>
              <w:t xml:space="preserve"> </w:t>
            </w:r>
            <w:r>
              <w:t xml:space="preserve">por paciente, test 20 %, semilla 42, con</w:t>
            </w:r>
            <w:r>
              <w:t xml:space="preserve"> </w:t>
            </w:r>
            <w:r>
              <w:rPr>
                <w:i/>
                <w:iCs/>
              </w:rPr>
              <w:t xml:space="preserve">assert</w:t>
            </w:r>
            <w:r>
              <w:t xml:space="preserve"> </w:t>
            </w:r>
            <w:r>
              <w:t xml:space="preserve">de pacientes disjuntos; TF-IDF de palabras (1–2-gramas, 60 000 rasgos,</w:t>
            </w:r>
            <w:r>
              <w:t xml:space="preserve"> </w:t>
            </w:r>
            <w:r>
              <w:rPr>
                <w:rStyle w:val="VerbatimChar"/>
              </w:rPr>
              <w:t xml:space="preserve">min_df</w:t>
            </w:r>
            <w:r>
              <w:t xml:space="preserve"> </w:t>
            </w:r>
            <w:r>
              <w:t xml:space="preserve">3) + TF-IDF de caracteres</w:t>
            </w:r>
            <w:r>
              <w:t xml:space="preserve"> </w:t>
            </w:r>
            <w:r>
              <w:rPr>
                <w:rStyle w:val="VerbatimChar"/>
              </w:rPr>
              <w:t xml:space="preserve">char_wb</w:t>
            </w:r>
            <w:r>
              <w:t xml:space="preserve"> </w:t>
            </w:r>
            <w:r>
              <w:t xml:space="preserve">(3–5, 20 000,</w:t>
            </w:r>
            <w:r>
              <w:t xml:space="preserve"> </w:t>
            </w:r>
            <w:r>
              <w:rPr>
                <w:rStyle w:val="VerbatimChar"/>
              </w:rPr>
              <w:t xml:space="preserve">min_df</w:t>
            </w:r>
            <w:r>
              <w:t xml:space="preserve"> </w:t>
            </w:r>
            <w:r>
              <w:t xml:space="preserve">5),</w:t>
            </w:r>
            <w:r>
              <w:t xml:space="preserve"> </w:t>
            </w:r>
            <w:r>
              <w:rPr>
                <w:rStyle w:val="VerbatimChar"/>
              </w:rPr>
              <w:t xml:space="preserve">sublinear_tf</w:t>
            </w:r>
            <w:r>
              <w:t xml:space="preserve">; el vocabulario se ajusta</w:t>
            </w:r>
            <w:r>
              <w:t xml:space="preserve"> </w:t>
            </w:r>
            <w:r>
              <w:rPr>
                <w:b/>
                <w:bCs/>
              </w:rPr>
              <w:t xml:space="preserve">solo con train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dataset_final.parquet</w:t>
            </w:r>
            <w:r>
              <w:t xml:space="preserve">; matrices dispersas (</w:t>
            </w:r>
            <w:r>
              <w:rPr>
                <w:rStyle w:val="VerbatimChar"/>
              </w:rPr>
              <w:t xml:space="preserve">fase9_modelo_final.py</w:t>
            </w:r>
            <w:r>
              <w:t xml:space="preserve">, l. 223–250)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Entrenamiento</w:t>
            </w:r>
          </w:p>
        </w:tc>
        <w:tc>
          <w:tcPr/>
          <w:p>
            <w:pPr>
              <w:pStyle w:val="Compact"/>
            </w:pPr>
            <w:r>
              <w:t xml:space="preserve">Matrices TF-IDF</w:t>
            </w:r>
          </w:p>
        </w:tc>
        <w:tc>
          <w:tcPr/>
          <w:p>
            <w:pPr>
              <w:pStyle w:val="Compact"/>
            </w:pPr>
            <w:r>
              <w:t xml:space="preserve">Cascada de dos etapas: E1 detección evento sí/no con LinearSVC balanceado (</w:t>
            </w:r>
            <w:r>
              <w:rPr>
                <w:rStyle w:val="VerbatimChar"/>
              </w:rPr>
              <w:t xml:space="preserve">class_weight</w:t>
            </w:r>
            <w:r>
              <w:t xml:space="preserve">); E2 naturaleza del evento, 6 clases multietiqueta,</w:t>
            </w:r>
            <w:r>
              <w:t xml:space="preserve"> </w:t>
            </w:r>
            <w:r>
              <w:rPr>
                <w:rStyle w:val="VerbatimChar"/>
              </w:rPr>
              <w:t xml:space="preserve">OneVsRest(LinearSVC)</w:t>
            </w:r>
            <w:r>
              <w:t xml:space="preserve">, entrenada solo con positivos y con su propia partición por paciente; prueba de abstención con 6 textos triviales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modelo_final.pkl</w:t>
            </w:r>
            <w:r>
              <w:t xml:space="preserve"> </w:t>
            </w:r>
            <w:r>
              <w:t xml:space="preserve">(10.7 MB, fuera de git por el DUA)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Evaluación</w:t>
            </w:r>
          </w:p>
        </w:tc>
        <w:tc>
          <w:tcPr/>
          <w:p>
            <w:pPr>
              <w:pStyle w:val="Compact"/>
            </w:pPr>
            <w:r>
              <w:t xml:space="preserve">Test reservado; panel experto; ERSP</w:t>
            </w:r>
          </w:p>
        </w:tc>
        <w:tc>
          <w:tcPr/>
          <w:p>
            <w:pPr>
              <w:pStyle w:val="Compact"/>
            </w:pPr>
            <w:r>
              <w:t xml:space="preserve">Métricas con IC95 por</w:t>
            </w:r>
            <w:r>
              <w:t xml:space="preserve"> </w:t>
            </w:r>
            <w:r>
              <w:rPr>
                <w:i/>
                <w:iCs/>
              </w:rPr>
              <w:t xml:space="preserve">bootstrap</w:t>
            </w:r>
            <w:r>
              <w:t xml:space="preserve"> </w:t>
            </w:r>
            <w:r>
              <w:t xml:space="preserve">(200 réplicas) por nota y por paciente; cascada extremo a extremo; sistema contra consenso de expertos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resultados_finales.json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metricas_corregidas.json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sistema_vs_experto.json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Salida</w:t>
            </w:r>
          </w:p>
        </w:tc>
        <w:tc>
          <w:tcPr/>
          <w:p>
            <w:pPr>
              <w:pStyle w:val="Compact"/>
            </w:pPr>
            <w:r>
              <w:t xml:space="preserve">Detecciones por nota</w:t>
            </w:r>
          </w:p>
        </w:tc>
        <w:tc>
          <w:tcPr/>
          <w:p>
            <w:pPr>
              <w:pStyle w:val="Compact"/>
            </w:pPr>
            <w:r>
              <w:t xml:space="preserve">Matriz de Priorización GEMSES (Anexo 03 de la Directiva N.º 7-OGCyH-ESSALUD-2020): G = 0.40·c + 0.20·d + 0.15·e + 0.25·f → percentiles P25/P50/P75 → banda Verde/Amarillo/Rojo y responsable</w:t>
            </w:r>
          </w:p>
        </w:tc>
        <w:tc>
          <w:tcPr/>
          <w:p>
            <w:pPr>
              <w:pStyle w:val="Compact"/>
            </w:pPr>
            <w:r>
              <w:t xml:space="preserve">Tablero de priorización (</w:t>
            </w:r>
            <w:r>
              <w:rPr>
                <w:rStyle w:val="VerbatimChar"/>
              </w:rPr>
              <w:t xml:space="preserve">motor_v2.py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gemses_priorizacion.py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 de datos, unidad de análisis y variable objetivo.</w:t>
      </w:r>
      <w:r>
        <w:t xml:space="preserve"> </w:t>
      </w:r>
      <w:r>
        <w:t xml:space="preserve">La unidad de análisis es la epicrisis (una por hospitalización). La variable objetivo de E1 es binaria (¿la hospitalización tuvo un evento adverso codificado como causal?) y la de E2 es la</w:t>
      </w:r>
      <w:r>
        <w:t xml:space="preserve"> </w:t>
      </w:r>
      <w:r>
        <w:rPr>
          <w:i/>
          <w:iCs/>
        </w:rPr>
        <w:t xml:space="preserve">naturaleza</w:t>
      </w:r>
      <w:r>
        <w:t xml:space="preserve"> </w:t>
      </w:r>
      <w:r>
        <w:t xml:space="preserve">del evento según la Tabla de Codificación (Anexo 02 de la misma Directiva), reducida a 6 clases con n suficiente. No hay valores faltantes numéricos ni escalamiento: el texto es la única entrada del modelo y TF-IDF ya normaliza; la fusión con variables tabulares prevista en el proyecto original</w:t>
      </w:r>
      <w:r>
        <w:t xml:space="preserve"> </w:t>
      </w:r>
      <w:r>
        <w:rPr>
          <w:b/>
          <w:bCs/>
        </w:rPr>
        <w:t xml:space="preserve">nunca se ejecutó</w:t>
      </w:r>
      <w:r>
        <w:t xml:space="preserve"> </w:t>
      </w:r>
      <w:r>
        <w:t xml:space="preserve">y queda fuera de alcance.</w:t>
      </w:r>
    </w:p>
    <w:p>
      <w:pPr>
        <w:pStyle w:val="BodyText"/>
      </w:pPr>
      <w:r>
        <w:rPr>
          <w:b/>
          <w:bCs/>
        </w:rPr>
        <w:t xml:space="preserve">Regla de partición.</w:t>
      </w:r>
      <w:r>
        <w:t xml:space="preserve"> </w:t>
      </w:r>
      <w:r>
        <w:t xml:space="preserve">Se respeta la unidad</w:t>
      </w:r>
      <w:r>
        <w:t xml:space="preserve"> </w:t>
      </w:r>
      <w:r>
        <w:rPr>
          <w:i/>
          <w:iCs/>
        </w:rPr>
        <w:t xml:space="preserve">paciente</w:t>
      </w:r>
      <w:r>
        <w:t xml:space="preserve">: ningún</w:t>
      </w:r>
      <w:r>
        <w:t xml:space="preserve"> </w:t>
      </w:r>
      <w:r>
        <w:rPr>
          <w:rStyle w:val="VerbatimChar"/>
        </w:rPr>
        <w:t xml:space="preserve">subject_id</w:t>
      </w:r>
      <w:r>
        <w:t xml:space="preserve"> </w:t>
      </w:r>
      <w:r>
        <w:t xml:space="preserve">aparece a la vez en train y test. En la Fase 4 se comprobó que el split por paciente no degrada el rendimiento (F1-macro 0.492 ± 0.018) y desde entonces es obligatorio (</w:t>
      </w:r>
      <w:r>
        <w:rPr>
          <w:rStyle w:val="VerbatimChar"/>
        </w:rPr>
        <w:t xml:space="preserve">fase4/RESULTADOS_FASE4.md</w:t>
      </w:r>
      <w:r>
        <w:t xml:space="preserve">). Desarrollo y ajuste se hacen con validación cruzada de 5 pliegues dentro del train; el test se toca una sola vez; el panel experto y el corpus ERSP actúan como evaluación externa.</w:t>
      </w:r>
    </w:p>
    <w:bookmarkEnd w:id="13"/>
    <w:bookmarkStart w:id="14" w:name="X7a489f429bc6ac4f4b8abba25b515ce994c4053"/>
    <w:p>
      <w:pPr>
        <w:pStyle w:val="Heading1"/>
      </w:pPr>
      <w:r>
        <w:t xml:space="preserve">3. Baseline, familia de modelos y alternativas ya descartadas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mínimo:</w:t>
      </w:r>
      <w:r>
        <w:t xml:space="preserve"> </w:t>
      </w:r>
      <w:r>
        <w:t xml:space="preserve">reglas regex Tier B + NegEx, precisión 65.7 % (IC95 54.0–75.8, n = 70, reporte de validación de 70 eventos), y TF-IDF + regresión logística (Fase 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Familia elegida:</w:t>
      </w:r>
      <w:r>
        <w:t xml:space="preserve"> </w:t>
      </w:r>
      <w:r>
        <w:t xml:space="preserve">modelo lineal sobre TF-IDF (LinearSVC balanceado), en cascada. Es el modelo vigente desde la Fase 9 (29-jul-2026).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Alternativas probadas y refutadas</w:t>
      </w:r>
      <w:r>
        <w:t xml:space="preserve"> </w:t>
      </w:r>
      <w:r>
        <w:t xml:space="preserve">con la misma partición y semilla (hipótesis HE2): ClinicalBERT congelado F1-macro 0.19; Bio_ClinicalBERT y BioBERT con ajuste fino en GPU 0.21–0.35 (2.9–4.0 h) frente a 0.459 del lineal en 48 s (</w:t>
      </w:r>
      <w:r>
        <w:rPr>
          <w:rStyle w:val="VerbatimChar"/>
        </w:rPr>
        <w:t xml:space="preserve">resultados_transformers.json</w:t>
      </w:r>
      <w:r>
        <w:t xml:space="preserve">); BioClinical ModernBERT con ventana de 1024 tokens 0.428 tras 42.5 h de GPU (</w:t>
      </w:r>
      <w:r>
        <w:rPr>
          <w:rStyle w:val="VerbatimChar"/>
        </w:rPr>
        <w:t xml:space="preserve">modernbert_final.json</w:t>
      </w:r>
      <w:r>
        <w:t xml:space="preserve">); Llama 3.2 3B</w:t>
      </w:r>
      <w:r>
        <w:t xml:space="preserve"> </w:t>
      </w:r>
      <w:r>
        <w:rPr>
          <w:i/>
          <w:iCs/>
        </w:rPr>
        <w:t xml:space="preserve">zero-shot</w:t>
      </w:r>
      <w:r>
        <w:t xml:space="preserve"> </w:t>
      </w:r>
      <w:r>
        <w:t xml:space="preserve">kappa 0.0 (dice sí a todo,</w:t>
      </w:r>
      <w:r>
        <w:t xml:space="preserve"> </w:t>
      </w:r>
      <w:r>
        <w:rPr>
          <w:rStyle w:val="VerbatimChar"/>
        </w:rPr>
        <w:t xml:space="preserve">llm_local_vs_experto.json</w:t>
      </w:r>
      <w:r>
        <w:t xml:space="preserve">). Causa medida: la ventana de 256 tokens cubre el 9 % de una epicrisis (mediana 3 148 tokens). Se documenta como resultado negativo; solo se reabriría con Longformer o BigBird y GPU dedicada.</w:t>
      </w:r>
    </w:p>
    <w:bookmarkEnd w:id="14"/>
    <w:bookmarkStart w:id="15" w:name="criterio-preliminar-de-evaluación"/>
    <w:p>
      <w:pPr>
        <w:pStyle w:val="Heading1"/>
      </w:pPr>
      <w:r>
        <w:t xml:space="preserve">4. Criterio preliminar de evaluación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Situación al 25-set-2026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Métrica principal</w:t>
            </w:r>
          </w:p>
        </w:tc>
        <w:tc>
          <w:tcPr/>
          <w:p>
            <w:pPr>
              <w:pStyle w:val="Compact"/>
            </w:pPr>
            <w:r>
              <w:t xml:space="preserve">F1-macro de la</w:t>
            </w:r>
            <w:r>
              <w:t xml:space="preserve"> </w:t>
            </w:r>
            <w:r>
              <w:rPr>
                <w:b/>
                <w:bCs/>
              </w:rPr>
              <w:t xml:space="preserve">cascada completa</w:t>
            </w:r>
            <w:r>
              <w:t xml:space="preserve"> </w:t>
            </w:r>
            <w:r>
              <w:t xml:space="preserve">con IC95 por paciente (no la etapa aislada)</w:t>
            </w:r>
          </w:p>
        </w:tc>
        <w:tc>
          <w:tcPr/>
          <w:p>
            <w:pPr>
              <w:pStyle w:val="Compact"/>
            </w:pPr>
            <w:r>
              <w:t xml:space="preserve">0.363 en cascada frente a 0.536 de E2 aislada (</w:t>
            </w:r>
            <w:r>
              <w:rPr>
                <w:rStyle w:val="VerbatimChar"/>
              </w:rPr>
              <w:t xml:space="preserve">metricas_corregidas.json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Secundarias</w:t>
            </w:r>
          </w:p>
        </w:tc>
        <w:tc>
          <w:tcPr/>
          <w:p>
            <w:pPr>
              <w:pStyle w:val="Compact"/>
            </w:pPr>
            <w:r>
              <w:t xml:space="preserve">E1: sensibilidad, especificidad, AUC y VPP a prevalencia real; E2: F1-micro; abstención</w:t>
            </w:r>
          </w:p>
        </w:tc>
        <w:tc>
          <w:tcPr/>
          <w:p>
            <w:pPr>
              <w:pStyle w:val="Compact"/>
            </w:pPr>
            <w:r>
              <w:t xml:space="preserve">sens 0.762, esp 0.770, AUC 0.843, VPP 0.455; F1-micro 0.745; abstención 6/6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Supera el baseline de reglas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kappa sistema–experto ≥ 0.61 (umbral de la hipótesis general,</w:t>
            </w:r>
            <w:r>
              <w:t xml:space="preserve"> </w:t>
            </w:r>
            <w:r>
              <w:rPr>
                <w:rStyle w:val="VerbatimChar"/>
              </w:rPr>
              <w:t xml:space="preserve">Capitulo3.tex:321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kappa 0.531 (n = 68, solo infección):</w:t>
            </w:r>
            <w:r>
              <w:t xml:space="preserve"> </w:t>
            </w:r>
            <w:r>
              <w:rPr>
                <w:b/>
                <w:bCs/>
              </w:rPr>
              <w:t xml:space="preserve">no alcanzado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Aceptable</w:t>
            </w:r>
          </w:p>
        </w:tc>
        <w:tc>
          <w:tcPr/>
          <w:p>
            <w:pPr>
              <w:pStyle w:val="Compact"/>
            </w:pPr>
            <w:r>
              <w:t xml:space="preserve">Supera el baseline lineal en cascada y F1 &gt; 0.5 en toda clase con n ≥ 100</w:t>
            </w:r>
          </w:p>
        </w:tc>
        <w:tc>
          <w:tcPr/>
          <w:p>
            <w:pPr>
              <w:pStyle w:val="Compact"/>
            </w:pPr>
            <w:r>
              <w:t xml:space="preserve">Cumplido en Infección y Procedimiento; Sistema/Organización (n = 66) F1 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Fuera de alcance</w:t>
            </w:r>
          </w:p>
        </w:tc>
        <w:tc>
          <w:tcPr/>
          <w:p>
            <w:pPr>
              <w:pStyle w:val="Compact"/>
            </w:pPr>
            <w:r>
              <w:t xml:space="preserve">Clases con n insuficiente: Sistema/Organización, Sangre/Hemoderivados, Nutrición</w:t>
            </w:r>
          </w:p>
        </w:tc>
        <w:tc>
          <w:tcPr/>
          <w:p>
            <w:pPr>
              <w:pStyle w:val="Compact"/>
            </w:pPr>
            <w:r>
              <w:t xml:space="preserve">Declaradas no viables, no se intenta corregirlas</w:t>
            </w:r>
          </w:p>
        </w:tc>
      </w:tr>
    </w:tbl>
    <w:p>
      <w:pPr>
        <w:pStyle w:val="BodyText"/>
      </w:pPr>
      <w:r>
        <w:t xml:space="preserve">Toda comparación entre modelos se hace con la misma partición (semilla 42, por paciente) y se reporta siempre la cascada, porque el pipeline completo rinde menos que sus etapas.</w:t>
      </w:r>
    </w:p>
    <w:bookmarkEnd w:id="15"/>
    <w:bookmarkStart w:id="16" w:name="reproducibilidad"/>
    <w:p>
      <w:pPr>
        <w:pStyle w:val="Heading1"/>
      </w:pPr>
      <w:r>
        <w:t xml:space="preserve">5. Reproducibilidad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Versiones fijas:</w:t>
      </w:r>
      <w:r>
        <w:t xml:space="preserve"> </w:t>
      </w:r>
      <w:r>
        <w:t xml:space="preserve">MIMIC-IV v3.1 (DOI 10.13026/kpb9-mt58), MIMIC-IV-Note v2.2 (DOI 10.13026/1n74-ne17), Python 3.13.5, DuckDB 1.5.2; versión de scikit-learn</w:t>
      </w:r>
      <w:r>
        <w:t xml:space="preserve"> </w:t>
      </w:r>
      <w:r>
        <w:rPr>
          <w:b/>
          <w:bCs/>
        </w:rPr>
        <w:t xml:space="preserve">por fijar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Semillas:</w:t>
      </w:r>
      <w:r>
        <w:t xml:space="preserve"> </w:t>
      </w:r>
      <w:r>
        <w:t xml:space="preserve">42 en la partición, en el muestreo del corpus y en el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</w:t>
      </w:r>
      <w:r>
        <w:rPr>
          <w:rStyle w:val="VerbatimChar"/>
        </w:rPr>
        <w:t xml:space="preserve">SEED = 42</w:t>
      </w:r>
      <w:r>
        <w:t xml:space="preserve">,</w:t>
      </w:r>
      <w:r>
        <w:t xml:space="preserve"> </w:t>
      </w:r>
      <w:r>
        <w:rPr>
          <w:rStyle w:val="VerbatimChar"/>
        </w:rPr>
        <w:t xml:space="preserve">fase9_modelo_final.py:93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Registro de experimentos:</w:t>
      </w:r>
      <w:r>
        <w:t xml:space="preserve"> </w:t>
      </w:r>
      <w:r>
        <w:t xml:space="preserve">un JSON de resultados por fase en</w:t>
      </w:r>
      <w:r>
        <w:t xml:space="preserve"> </w:t>
      </w:r>
      <w:r>
        <w:rPr>
          <w:rStyle w:val="VerbatimChar"/>
        </w:rPr>
        <w:t xml:space="preserve">datos_intermedios/fase*/</w:t>
      </w:r>
      <w:r>
        <w:t xml:space="preserve">, más bitácoras fechadas en</w:t>
      </w:r>
      <w:r>
        <w:t xml:space="preserve"> </w:t>
      </w:r>
      <w:r>
        <w:rPr>
          <w:rStyle w:val="VerbatimChar"/>
        </w:rPr>
        <w:t xml:space="preserve">07_bitacoras/</w:t>
      </w:r>
      <w:r>
        <w:t xml:space="preserve">. Cada cifra del borrador de tesis lleva un comentario</w:t>
      </w:r>
      <w:r>
        <w:t xml:space="preserve"> </w:t>
      </w:r>
      <w:r>
        <w:rPr>
          <w:rStyle w:val="VerbatimChar"/>
        </w:rPr>
        <w:t xml:space="preserve">% fuente:</w:t>
      </w:r>
      <w:r>
        <w:t xml:space="preserve"> </w:t>
      </w:r>
      <w:r>
        <w:t xml:space="preserve">con su archivo.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Artefactos:</w:t>
      </w:r>
      <w:r>
        <w:t xml:space="preserve"> </w:t>
      </w:r>
      <w:r>
        <w:rPr>
          <w:rStyle w:val="VerbatimChar"/>
        </w:rPr>
        <w:t xml:space="preserve">modelo_final.pkl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dataset_final.parquet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resultados_finales.json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metricas_corregidas.json</w:t>
      </w:r>
      <w:r>
        <w:t xml:space="preserve">. Modelo y datos quedan fuera de git por el DUA; el repositorio de la tesis es privado desde el 28-jul-2026.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honesto (verificado en disco el 25-set-2026):</w:t>
      </w:r>
      <w:r>
        <w:t xml:space="preserve"> </w:t>
      </w:r>
      <w:r>
        <w:t xml:space="preserve">no existen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data/raw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data/processed</w:t>
      </w:r>
      <w:r>
        <w:t xml:space="preserve">; hay 46 scripts, uno por fase, sin orquestador; la sección</w:t>
      </w:r>
      <w:r>
        <w:t xml:space="preserve"> </w:t>
      </w:r>
      <w:r>
        <w:t xml:space="preserve">“Cómo reproducir”</w:t>
      </w:r>
      <w:r>
        <w:t xml:space="preserve"> </w:t>
      </w:r>
      <w:r>
        <w:t xml:space="preserve">del README apunta al notebook exploratorio y no a la cascada; los</w:t>
      </w:r>
      <w:r>
        <w:t xml:space="preserve"> </w:t>
      </w:r>
      <w:r>
        <w:rPr>
          <w:i/>
          <w:iCs/>
        </w:rPr>
        <w:t xml:space="preserve">checkpoints</w:t>
      </w:r>
      <w:r>
        <w:t xml:space="preserve"> </w:t>
      </w:r>
      <w:r>
        <w:t xml:space="preserve">de los transformers no se guardaron (solo son reproducibles reentrenando).</w:t>
      </w:r>
      <w:r>
        <w:t xml:space="preserve"> </w:t>
      </w:r>
      <w:r>
        <w:rPr>
          <w:b/>
          <w:bCs/>
        </w:rPr>
        <w:t xml:space="preserve">Sprint 1 del curso</w:t>
      </w:r>
      <w:r>
        <w:t xml:space="preserve"> </w:t>
      </w:r>
      <w:r>
        <w:t xml:space="preserve">= cerrar exactamente esto, con criterio de aceptación medible: que un tercero con credencial PhysioNet regenere la Fase 9 con un solo comando y obtenga sens 0.7623, esp 0.7699 y AUC 0.8426 con tolerancia ± 0.005.</w:t>
      </w:r>
    </w:p>
    <w:bookmarkEnd w:id="16"/>
    <w:bookmarkStart w:id="17" w:name="Xb82c3b42f188a5a28afc4a28647cfe89e93b4c6"/>
    <w:p>
      <w:pPr>
        <w:pStyle w:val="Heading1"/>
      </w:pPr>
      <w:r>
        <w:t xml:space="preserve">6. Riesgos técnicos previsibles y cómo se detectan o mitigan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Dónde se detectó (frente)</w:t>
            </w:r>
          </w:p>
        </w:tc>
        <w:tc>
          <w:tcPr/>
          <w:p>
            <w:pPr>
              <w:pStyle w:val="Compact"/>
            </w:pPr>
            <w:r>
              <w:t xml:space="preserve">Mitigación incorporada al diseño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por circularidad regex → etiqueta</w:t>
            </w:r>
          </w:p>
        </w:tc>
        <w:tc>
          <w:tcPr/>
          <w:p>
            <w:pPr>
              <w:pStyle w:val="Compact"/>
            </w:pPr>
            <w:r>
              <w:t xml:space="preserve">Tesis / PLN: enmascarar los disparadores solo baja 1.35 puntos</w:t>
            </w:r>
          </w:p>
        </w:tc>
        <w:tc>
          <w:tcPr/>
          <w:p>
            <w:pPr>
              <w:pStyle w:val="Compact"/>
            </w:pPr>
            <w:r>
              <w:t xml:space="preserve">Etiqueta A1 derivada de códigos CIE-10 causales, no del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Confusor de época CIE-9/CIE-10</w:t>
            </w:r>
          </w:p>
        </w:tc>
        <w:tc>
          <w:tcPr/>
          <w:p>
            <w:pPr>
              <w:pStyle w:val="Compact"/>
            </w:pPr>
            <w:r>
              <w:t xml:space="preserve">Tesis, Fase 7: AUC 0.973 → 0.840 al emparejar</w:t>
            </w:r>
          </w:p>
        </w:tc>
        <w:tc>
          <w:tcPr/>
          <w:p>
            <w:pPr>
              <w:pStyle w:val="Compact"/>
            </w:pPr>
            <w:r>
              <w:t xml:space="preserve">Emparejamiento de época en los negativos; la cifra 0.973 queda retirada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por paciente</w:t>
            </w:r>
          </w:p>
        </w:tc>
        <w:tc>
          <w:tcPr/>
          <w:p>
            <w:pPr>
              <w:pStyle w:val="Compact"/>
            </w:pPr>
            <w:r>
              <w:t xml:space="preserve">PLN (auditoría adversarial)</w:t>
            </w:r>
          </w:p>
        </w:tc>
        <w:tc>
          <w:tcPr/>
          <w:p>
            <w:pPr>
              <w:pStyle w:val="Compact"/>
            </w:pPr>
            <w:r>
              <w:t xml:space="preserve">Partición por</w:t>
            </w:r>
            <w:r>
              <w:t xml:space="preserve"> </w:t>
            </w:r>
            <w:r>
              <w:rPr>
                <w:rStyle w:val="VerbatimChar"/>
              </w:rPr>
              <w:t xml:space="preserve">subject_id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i/>
                <w:iCs/>
              </w:rPr>
              <w:t xml:space="preserve">assert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Fuga por estilo de redacción</w:t>
            </w:r>
          </w:p>
        </w:tc>
        <w:tc>
          <w:tcPr/>
          <w:p>
            <w:pPr>
              <w:pStyle w:val="Compact"/>
            </w:pPr>
            <w:r>
              <w:t xml:space="preserve">GEM·VigIA: el triaje reclamo/denuncia daba 98.4 %, y 91.5 % solo con palabras funcionales</w:t>
            </w:r>
          </w:p>
        </w:tc>
        <w:tc>
          <w:tcPr/>
          <w:p>
            <w:pPr>
              <w:pStyle w:val="Compact"/>
            </w:pPr>
            <w:r>
              <w:t xml:space="preserve">Ablaciones de control; no se usan metadatos de quién redacta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Mezcla de centros asistenciales</w:t>
            </w:r>
          </w:p>
        </w:tc>
        <w:tc>
          <w:tcPr/>
          <w:p>
            <w:pPr>
              <w:pStyle w:val="Compact"/>
            </w:pPr>
            <w:r>
              <w:t xml:space="preserve">GEM·VigIA sobre el mismo corpus ERSP: 0.77 estratificado frente a 0.42 por centro</w:t>
            </w:r>
          </w:p>
        </w:tc>
        <w:tc>
          <w:tcPr/>
          <w:p>
            <w:pPr>
              <w:pStyle w:val="Compact"/>
            </w:pPr>
            <w:r>
              <w:t xml:space="preserve">El OE5 se re-mide con partición por centro antes de citarse; 0.7675 solo como cota superior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Datos insuficientes por clase</w:t>
            </w:r>
          </w:p>
        </w:tc>
        <w:tc>
          <w:tcPr/>
          <w:p>
            <w:pPr>
              <w:pStyle w:val="Compact"/>
            </w:pPr>
            <w:r>
              <w:t xml:space="preserve">Tesis, Fases 4 y 9</w:t>
            </w:r>
          </w:p>
        </w:tc>
        <w:tc>
          <w:tcPr/>
          <w:p>
            <w:pPr>
              <w:pStyle w:val="Compact"/>
            </w:pPr>
            <w:r>
              <w:t xml:space="preserve">Clases con n &lt; 100 declaradas no viables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Referencia de etiqueta débil</w:t>
            </w:r>
          </w:p>
        </w:tc>
        <w:tc>
          <w:tcPr/>
          <w:p>
            <w:pPr>
              <w:pStyle w:val="Compact"/>
            </w:pPr>
            <w:r>
              <w:t xml:space="preserve">Panel experto limitado a infección; kappa 0.531 &lt; 0.61</w:t>
            </w:r>
          </w:p>
        </w:tc>
        <w:tc>
          <w:tcPr/>
          <w:p>
            <w:pPr>
              <w:pStyle w:val="Compact"/>
            </w:pPr>
            <w:r>
              <w:t xml:space="preserve">Decisión de alcance (20-set): A1 como estándar plata principal, panel como validación secundaria; limitación declarada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y latencia</w:t>
            </w:r>
          </w:p>
        </w:tc>
        <w:tc>
          <w:tcPr/>
          <w:p>
            <w:pPr>
              <w:pStyle w:val="Compact"/>
            </w:pPr>
            <w:r>
              <w:t xml:space="preserve">Transformers 2.9–42.5 h de GPU frente a 48 s</w:t>
            </w:r>
          </w:p>
        </w:tc>
        <w:tc>
          <w:tcPr/>
          <w:p>
            <w:pPr>
              <w:pStyle w:val="Compact"/>
            </w:pPr>
            <w:r>
              <w:t xml:space="preserve">Familia lineal; transformers cerrados como resultado negativo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Restricciones del entorno y datos personales</w:t>
            </w:r>
          </w:p>
        </w:tc>
        <w:tc>
          <w:tcPr/>
          <w:p>
            <w:pPr>
              <w:pStyle w:val="Compact"/>
            </w:pPr>
            <w:r>
              <w:t xml:space="preserve">DUA PhysioNet; incidente del 28-jul (repo público con DNI de ERSP)</w:t>
            </w:r>
          </w:p>
        </w:tc>
        <w:tc>
          <w:tcPr/>
          <w:p>
            <w:pPr>
              <w:pStyle w:val="Compact"/>
            </w:pPr>
            <w:r>
              <w:t xml:space="preserve">Modelo y datos fuera de git; repo privado e historial reescrito; ticket a GitHub y aviso al DPO de EsSalud</w:t>
            </w:r>
            <w:r>
              <w:t xml:space="preserve"> </w:t>
            </w:r>
            <w:r>
              <w:rPr>
                <w:b/>
                <w:bCs/>
              </w:rPr>
              <w:t xml:space="preserve">pendientes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 de resultados intermedios</w:t>
            </w:r>
          </w:p>
        </w:tc>
        <w:tc>
          <w:tcPr/>
          <w:p>
            <w:pPr>
              <w:pStyle w:val="Compact"/>
            </w:pPr>
            <w:r>
              <w:t xml:space="preserve">Tesis: se perdieron las filas por nota del primer tramo (260 000) al morir el proceso</w:t>
            </w:r>
          </w:p>
        </w:tc>
        <w:tc>
          <w:tcPr/>
          <w:p>
            <w:pPr>
              <w:pStyle w:val="Compact"/>
            </w:pPr>
            <w:r>
              <w:t xml:space="preserve">Orquestador con</w:t>
            </w:r>
            <w:r>
              <w:t xml:space="preserve"> </w:t>
            </w:r>
            <w:r>
              <w:rPr>
                <w:i/>
                <w:iCs/>
              </w:rPr>
              <w:t xml:space="preserve">checkpoint</w:t>
            </w:r>
            <w:r>
              <w:t xml:space="preserve"> </w:t>
            </w:r>
            <w:r>
              <w:t xml:space="preserve">por fase (Sprint 1)</w:t>
            </w:r>
          </w:p>
        </w:tc>
      </w:tr>
    </w:tbl>
    <w:bookmarkEnd w:id="17"/>
    <w:bookmarkStart w:id="18" w:name="verificación-contra-la-guía-sección-11"/>
    <w:p>
      <w:pPr>
        <w:pStyle w:val="Heading1"/>
      </w:pPr>
      <w:r>
        <w:t xml:space="preserve">7. Verificación contra la guía (sección 11)</w:t>
      </w:r>
    </w:p>
    <w:p>
      <w:pPr>
        <w:pStyle w:val="FirstParagraph"/>
      </w:pPr>
      <w:r>
        <w:t xml:space="preserve">Diagrama acorde al tipo de tesis, entradas y salidas por etapa, criterio de resultado correcto, registro para reproducir, separación desarrollo/evaluación y riesgos (diez): cubiertos en las secciones 1 a 6. Alcance ejecutable con los recursos del curso:</w:t>
      </w:r>
      <w:r>
        <w:t xml:space="preserve"> </w:t>
      </w:r>
      <w:r>
        <w:rPr>
          <w:b/>
          <w:bCs/>
        </w:rPr>
        <w:t xml:space="preserve">[juicio técnico]</w:t>
      </w:r>
      <w:r>
        <w:t xml:space="preserve"> </w:t>
      </w:r>
      <w:r>
        <w:t xml:space="preserve">sí, porque el modelo ya existe y el Sprint 1 es de reproducibilidad, no de modelado.</w:t>
      </w:r>
    </w:p>
    <w:p>
      <w:pPr>
        <w:pStyle w:val="BodyText"/>
      </w:pPr>
      <w:r>
        <w:rPr>
          <w:b/>
          <w:bCs/>
        </w:rPr>
        <w:t xml:space="preserve">Fuentes abiertas para este entregable</w:t>
      </w:r>
      <w:r>
        <w:t xml:space="preserve"> </w:t>
      </w:r>
      <w:r>
        <w:t xml:space="preserve">(todas en el repositorio de la tesis tesis-gemses-mimic-pipeline):</w:t>
      </w:r>
    </w:p>
    <w:p>
      <w:pPr>
        <w:pStyle w:val="Compact"/>
        <w:numPr>
          <w:ilvl w:val="0"/>
          <w:numId w:val="1003"/>
        </w:numPr>
      </w:pPr>
      <w:r>
        <w:t xml:space="preserve">11_proyecto_II: 01_INVENTARIO_MODELOS_Y_CHECKLIST_2026-09-18.md y 02_ESTADO_DE_AVANCE_COMPLETO_2026-09-18.md.</w:t>
      </w:r>
    </w:p>
    <w:p>
      <w:pPr>
        <w:pStyle w:val="Compact"/>
        <w:numPr>
          <w:ilvl w:val="0"/>
          <w:numId w:val="1003"/>
        </w:numPr>
      </w:pPr>
      <w:r>
        <w:t xml:space="preserve">04_pipeline_codigo: fase9_modelo_final.py, fase10_metricas_corregidas.py y los JSON de datos_intermedios.</w:t>
      </w:r>
    </w:p>
    <w:p>
      <w:pPr>
        <w:pStyle w:val="Compact"/>
        <w:numPr>
          <w:ilvl w:val="0"/>
          <w:numId w:val="1003"/>
        </w:numPr>
      </w:pPr>
      <w:r>
        <w:t xml:space="preserve">latex_tesis: Capitulo3.tex (hipótesis y umbral de kappa).</w:t>
      </w:r>
    </w:p>
    <w:p>
      <w:pPr>
        <w:pStyle w:val="Compact"/>
        <w:numPr>
          <w:ilvl w:val="0"/>
          <w:numId w:val="1003"/>
        </w:numPr>
      </w:pPr>
      <w:r>
        <w:t xml:space="preserve">Directiva N.º 7-OGCyH-ESSALUD-2020 (RGG 402-GG-ESSALUD-2020), Anexos 02 y 03.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Entregable Semana 2 — Diseño reproducible del flujo experimental</dc:title>
  <dc:creator>Carlos Pérez Pérez · Maestría en Inteligencia Artificial, FIIS-UNI</dc:creator>
  <dc:language>es</dc:language>
  <cp:keywords/>
  <dcterms:created xsi:type="dcterms:W3CDTF">2026-09-25T19:26:11Z</dcterms:created>
  <dcterms:modified xsi:type="dcterms:W3CDTF">2026-09-25T19:26:11Z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Trabajo de Investigación II (MIA-14, Sección B) · Docente: Dr. Ing. Glen Rodríguez Rafael · 25 de septiembre de 2026</vt:lpwstr>
  </property>
  <property fmtid="{D5CDD505-2E9C-101B-9397-08002B2CF9AE}" pid="3" name="subtitle">
    <vt:lpwstr>Detección automatizada y priorización de eventos adversos en epicrisis (MIMIC-IV) mediante NLP y aprendizaje supervisado, con la Matriz de Priorización GEMSES</vt:lpwstr>
  </property>
</Properties>
</file>