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4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drawing>
          <wp:inline>
            <wp:extent cx="1259999" cy="158444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logo_uni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999" cy="158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ubtitle"/>
      </w:pPr>
      <w:r>
        <w:t xml:space="preserve">UNIVERSIDAD NACIONAL DE INGENIERÍA · Facultad de Ingeniería Industrial y de Sistemas · Maestría en Inteligencia Artificial</w:t>
      </w:r>
    </w:p>
    <w:p>
      <w:pPr>
        <w:pStyle w:val="Title"/>
      </w:pPr>
      <w:r>
        <w:t xml:space="preserve">ENTREGABLE SEMANA 2</w:t>
      </w:r>
    </w:p>
    <w:p>
      <w:pPr>
        <w:pStyle w:val="Subtitle"/>
      </w:pPr>
      <w:r>
        <w:t xml:space="preserve">Curso: MIA-14 · Trabajo de Investigación II · Sección B · 2026-2</w:t>
      </w:r>
    </w:p>
    <w:p>
      <w:pPr>
        <w:pStyle w:val="Author"/>
      </w:pPr>
      <w:r>
        <w:rPr>
          <w:b/>
          <w:bCs/>
        </w:rPr>
        <w:t xml:space="preserve">Proceso:</w:t>
      </w:r>
      <w:r>
        <w:t xml:space="preserve"> </w:t>
      </w:r>
      <w:r>
        <w:t xml:space="preserve">Diseño reproducible del flujo experimental: pipeline de aprendizaje supervisado para la detección y priorización de eventos adversos</w:t>
      </w:r>
    </w:p>
    <w:p>
      <w:pPr>
        <w:pStyle w:val="Author"/>
      </w:pPr>
      <w:r>
        <w:rPr>
          <w:b/>
          <w:bCs/>
        </w:rPr>
        <w:t xml:space="preserve">Tesis:</w:t>
      </w:r>
      <w:r>
        <w:t xml:space="preserve"> </w:t>
      </w:r>
      <w:r>
        <w:rPr>
          <w:i/>
          <w:iCs/>
        </w:rPr>
        <w:t xml:space="preserve">Detección Automatizada y Priorización de Eventos Adversos en Notas Clínicas mediante un Flujo de Procesamiento (Pipeline) de NLP y Aprendizaje Automático — Aplicación de la Matriz de Priorización del Modelo GEMSES sobre MIMIC-IV</w:t>
      </w:r>
    </w:p>
    <w:p>
      <w:pPr>
        <w:pStyle w:val="Author"/>
      </w:pPr>
      <w:r>
        <w:t xml:space="preserve">Autor: Carlos Pérez Pérez · Docente: Dr. Ing. Glen Dario Rodríguez Rafael</w:t>
      </w:r>
    </w:p>
    <w:p>
      <w:pPr>
        <w:pStyle w:val="Date"/>
      </w:pPr>
      <w:r>
        <w:t xml:space="preserve">Lima, 25 de septiembre de 2026</w:t>
      </w:r>
    </w:p>
    <w:p>
      <w:r>
        <w:br w:type="page"/>
      </w:r>
    </w:p>
    <w:p>
      <w:pPr>
        <w:pStyle w:val="BodyText"/>
      </w:pPr>
      <w:r>
        <w:rPr>
          <w:b/>
          <w:bCs/>
        </w:rPr>
        <w:t xml:space="preserve">Tipo de tesis y continuidad.</w:t>
      </w:r>
      <w:r>
        <w:t xml:space="preserve"> </w:t>
      </w:r>
      <w:r>
        <w:t xml:space="preserve">Aprendizaje supervisado (clasificación de texto clínico) con etiqueta obtenida por</w:t>
      </w:r>
      <w:r>
        <w:t xml:space="preserve"> </w:t>
      </w:r>
      <w:r>
        <w:rPr>
          <w:i/>
          <w:iCs/>
        </w:rPr>
        <w:t xml:space="preserve">supervisión débil</w:t>
      </w:r>
      <w:r>
        <w:t xml:space="preserve">: no la asigna un anotador leyendo cada epicrisis, sino que se deriva de los códigos CIE-10 causales de la misma hospitalización (etiqueta A1). Esto permite entrenar con 70 000 epicrisis sin anotación manual masiva; a cambio la etiqueta tiene ruido, y su calidad se verifica con un panel de expertos y con un corpus en español etiquetado por humanos (ERSP de EsSalud). No se prevé anotar más datos. El título de la tesis se mantiene desde Trabajo de Investigación I; el flujo incorpora lo probado desde julio, lo aprendido en el curso de Procesamiento de Lenguaje Natural (auditoría adversarial) y la aplicación del mismo enfoque a los reportes de seguridad del paciente de EsSalud en el sistema GEM·VigIA.</w:t>
      </w:r>
    </w:p>
    <w:bookmarkStart w:id="12" w:name="diagrama-del-flujo-principal"/>
    <w:p>
      <w:pPr>
        <w:pStyle w:val="Heading1"/>
      </w:pPr>
      <w:r>
        <w:t xml:space="preserve">1. Diagrama del flujo principal</w:t>
      </w:r>
    </w:p>
    <w:p>
      <w:pPr>
        <w:pStyle w:val="FirstParagraph"/>
      </w:pPr>
      <w:r>
        <w:t xml:space="preserve">El diagrama del pipeline en seis etapas, con la salida reproducible de cada una, el baseline, las alternativas refutadas, los controles contra fugas y el estado de reproducibilidad, se presenta a página completa en el</w:t>
      </w:r>
      <w:r>
        <w:t xml:space="preserve"> </w:t>
      </w:r>
      <w:r>
        <w:rPr>
          <w:b/>
          <w:bCs/>
        </w:rPr>
        <w:t xml:space="preserve">Anexo A</w:t>
      </w:r>
      <w:r>
        <w:t xml:space="preserve">. El proceso de obtención de la base de datos MIMIC-IV, con sus requisitos y tiempos, se presenta en el</w:t>
      </w:r>
      <w:r>
        <w:t xml:space="preserve"> </w:t>
      </w:r>
      <w:r>
        <w:rPr>
          <w:b/>
          <w:bCs/>
        </w:rPr>
        <w:t xml:space="preserve">Anexo B</w:t>
      </w:r>
      <w:r>
        <w:t xml:space="preserve">.</w:t>
      </w:r>
    </w:p>
    <w:bookmarkEnd w:id="12"/>
    <w:bookmarkStart w:id="13" w:name="explicación-del-flujo"/>
    <w:p>
      <w:pPr>
        <w:pStyle w:val="Heading1"/>
      </w:pPr>
      <w:r>
        <w:t xml:space="preserve">2. Explicación del flujo</w:t>
      </w:r>
    </w:p>
    <w:p>
      <w:pPr>
        <w:pStyle w:val="FirstParagraph"/>
      </w:pPr>
      <w:r>
        <w:rPr>
          <w:b/>
          <w:bCs/>
        </w:rPr>
        <w:t xml:space="preserve">Datos, unidad de análisis y variable objetivo.</w:t>
      </w:r>
      <w:r>
        <w:t xml:space="preserve"> </w:t>
      </w:r>
      <w:r>
        <w:t xml:space="preserve">MIMIC-IV v3.1 y MIMIC-IV-Note v2.2 (PhysioNet): 331 793 epicrisis de 145 914 pacientes, leídas con DuckDB. La unidad de análisis es la epicrisis (una por hospitalización). Variable objetivo: en la etapa 1, binaria (¿hubo un evento adverso codificado como causal?); en la etapa 2, la naturaleza del evento según la Tabla de Codificación (Anexo 02 de la Directiva N.º 7-OGCyH-ESSALUD-2020), reducida a 6 clases con n suficiente. Segunda fuente, para transferencia al español: 6 336 reportes ERSP con etiqueta humana. El texto es la única entrada del modelo; no hay faltantes numéricos ni escalamiento, y la fusión con variables tabulares prevista en el proyecto original no se ejecutó.</w:t>
      </w:r>
    </w:p>
    <w:p>
      <w:pPr>
        <w:pStyle w:val="BodyText"/>
      </w:pPr>
      <w:r>
        <w:rPr>
          <w:b/>
          <w:bCs/>
        </w:rPr>
        <w:t xml:space="preserve">Obtención de MIMIC-IV: requisitos cumplidos y tiempos (Anexo B).</w:t>
      </w:r>
      <w:r>
        <w:t xml:space="preserve"> </w:t>
      </w:r>
      <w:r>
        <w:t xml:space="preserve">El 28 de abril de 2026 se completó en un solo día: registro en PhysioNet con nombre real y afiliación académica; los dos cursos CITI de ética («Data or Specimens Only Research», nota 95/100, y «Ética en Investigación» bajo EsSalud, 96/100; vigentes hasta abril de 2029); la firma del</w:t>
      </w:r>
      <w:r>
        <w:t xml:space="preserve"> </w:t>
      </w:r>
      <w:r>
        <w:rPr>
          <w:i/>
          <w:iCs/>
        </w:rPr>
        <w:t xml:space="preserve">Credentialed Health Data Use Agreement</w:t>
      </w:r>
      <w:r>
        <w:t xml:space="preserve"> </w:t>
      </w:r>
      <w:r>
        <w:t xml:space="preserve">v1.5.0 y el acceso confirmado a MIMIC-IV (364 627 pacientes, 546 028 hospitalizaciones). El 10 y 11 de mayo se firmó el acuerdo específico de MIMIC-IV-Note, se descargaron sus 4 archivos (1.96 GB) y se verificó la primera lectura (331 793 epicrisis). El 14 de mayo se descargaron los 33 archivos de MIMIC-IV y se comprobó su integridad por SHA-256 (33/33). Tiempos: requisitos y acceso, 1 día; corpus completo verificado, 17 días desde la decisión del dataset. Costo: S/ 0. Compromisos: no reidentificar, no redistribuir, datos y modelos fuera del control de versiones; acceso al texto restringido al investigador acreditado.</w:t>
      </w:r>
    </w:p>
    <w:p>
      <w:pPr>
        <w:pStyle w:val="BodyText"/>
      </w:pPr>
      <w:r>
        <w:rPr>
          <w:b/>
          <w:bCs/>
        </w:rPr>
        <w:t xml:space="preserve">Etapas del pipeline (qué recibe y qué produce cada una).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Recibe → produce</w:t>
            </w:r>
          </w:p>
        </w:tc>
        <w:tc>
          <w:tcPr/>
          <w:p>
            <w:pPr>
              <w:pStyle w:val="Compact"/>
            </w:pPr>
            <w:r>
              <w:t xml:space="preserve">Decisiones técnicas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Ingesta</w:t>
            </w:r>
          </w:p>
        </w:tc>
        <w:tc>
          <w:tcPr/>
          <w:p>
            <w:pPr>
              <w:pStyle w:val="Compact"/>
            </w:pPr>
            <w:r>
              <w:t xml:space="preserve">Archivos MIMIC → 331 793 epicrisis con identificadores de paciente y hospitalización</w:t>
            </w:r>
          </w:p>
        </w:tc>
        <w:tc>
          <w:tcPr/>
          <w:p>
            <w:pPr>
              <w:pStyle w:val="Compact"/>
            </w:pPr>
            <w:r>
              <w:t xml:space="preserve">Lectura con DuckDB sobre los archivos comprimidos, sin cargarlos a 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Preprocesamiento y etiqueta</w:t>
            </w:r>
          </w:p>
        </w:tc>
        <w:tc>
          <w:tcPr/>
          <w:p>
            <w:pPr>
              <w:pStyle w:val="Compact"/>
            </w:pPr>
            <w:r>
              <w:t xml:space="preserve">Epicrisis + códigos → corpus de modelado de 70 000 epicrisis, prevalencia real 0.2012</w:t>
            </w:r>
          </w:p>
        </w:tc>
        <w:tc>
          <w:tcPr/>
          <w:p>
            <w:pPr>
              <w:pStyle w:val="Compact"/>
            </w:pPr>
            <w:r>
              <w:t xml:space="preserve">223 códigos CIE-10 causales + 21 equivalencias OMS→CM → etiqueta A1 no circular; emparejamiento de época CIE-9/CIE-10 en los negativos; NegEx y regex solo como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Partición y features</w:t>
            </w:r>
          </w:p>
        </w:tc>
        <w:tc>
          <w:tcPr/>
          <w:p>
            <w:pPr>
              <w:pStyle w:val="Compact"/>
            </w:pPr>
            <w:r>
              <w:t xml:space="preserve">Corpus → matrices TF-IDF</w:t>
            </w:r>
          </w:p>
        </w:tc>
        <w:tc>
          <w:tcPr/>
          <w:p>
            <w:pPr>
              <w:pStyle w:val="Compact"/>
            </w:pPr>
            <w:r>
              <w:t xml:space="preserve">Partición por paciente, test 20 %, semilla 42; validación cruzada de 5 pliegues dentro del train; TF-IDF de palabras (1–2-gramas, 60 000) + caracteres (3–5, 20 000); vocabulario ajustado solo con 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Entrenamiento</w:t>
            </w:r>
          </w:p>
        </w:tc>
        <w:tc>
          <w:tcPr/>
          <w:p>
            <w:pPr>
              <w:pStyle w:val="Compact"/>
            </w:pPr>
            <w:r>
              <w:t xml:space="preserve">Matrices → modelo final serializado</w:t>
            </w:r>
          </w:p>
        </w:tc>
        <w:tc>
          <w:tcPr/>
          <w:p>
            <w:pPr>
              <w:pStyle w:val="Compact"/>
            </w:pPr>
            <w:r>
              <w:t xml:space="preserve">Cascada: E1 detección sí/no con LinearSVC balanceado; E2 naturaleza multietiqueta con OneVsRest(LinearSVC), solo sobre positivos y con partición propia; abstención ante textos triviales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Evaluación</w:t>
            </w:r>
          </w:p>
        </w:tc>
        <w:tc>
          <w:tcPr/>
          <w:p>
            <w:pPr>
              <w:pStyle w:val="Compact"/>
            </w:pPr>
            <w:r>
              <w:t xml:space="preserve">Test reservado, panel experto y ERSP → archivos JSON de métricas</w:t>
            </w:r>
          </w:p>
        </w:tc>
        <w:tc>
          <w:tcPr/>
          <w:p>
            <w:pPr>
              <w:pStyle w:val="Compact"/>
            </w:pPr>
            <w:r>
              <w:t xml:space="preserve">IC95 por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(200 réplicas) por nota y por paciente; cascada extremo a extremo; sistema contra consenso de expertos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Salida</w:t>
            </w:r>
          </w:p>
        </w:tc>
        <w:tc>
          <w:tcPr/>
          <w:p>
            <w:pPr>
              <w:pStyle w:val="Compact"/>
            </w:pPr>
            <w:r>
              <w:t xml:space="preserve">Detecciones → tablero de priorización</w:t>
            </w:r>
          </w:p>
        </w:tc>
        <w:tc>
          <w:tcPr/>
          <w:p>
            <w:pPr>
              <w:pStyle w:val="Compact"/>
            </w:pPr>
            <w:r>
              <w:t xml:space="preserve">Matriz GEMSES (Anexo 03): G = 0.40·c + 0.20·d + 0.15·e + 0.25·f → percentiles P25/P50/P75 → banda Verde/Amarillo/Rojo y responsable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Baseline y familia de modelos.</w:t>
      </w:r>
      <w:r>
        <w:t xml:space="preserve"> </w:t>
      </w:r>
      <w:r>
        <w:t xml:space="preserve">Baseline: reglas regex + NegEx (precisión 65.7 %, IC95 54.0–75.8, n = 70) y TF-IDF + regresión logística. Familia elegida: modelo lineal sobre TF-IDF (LinearSVC balanceado) en cascada. Alternativas probadas y refutadas con la misma partición y semilla: BioBERT y Bio_ClinicalBERT con ajuste fino (F1-macro 0.21–0.35 en 2.9–4.0 h de GPU) y BioClinical ModernBERT de 1024 tokens (0.428 en 42.5 h), frente a 0.459 del lineal en 48 s; Llama 3.2 3B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obtuvo kappa 0.0 al clasificar todo como positivo. Causa medida: la ventana de 256 tokens cubre el 9 % de una epicrisis (mediana 3 148 tokens). Solo se reabriría con Longformer o BigBird y GPU dedicada.</w:t>
      </w:r>
    </w:p>
    <w:p>
      <w:pPr>
        <w:pStyle w:val="BodyText"/>
      </w:pPr>
      <w:r>
        <w:rPr>
          <w:b/>
          <w:bCs/>
        </w:rPr>
        <w:t xml:space="preserve">Criterio preliminar de evaluación.</w:t>
      </w:r>
      <w:r>
        <w:t xml:space="preserve"> </w:t>
      </w:r>
      <w:r>
        <w:t xml:space="preserve">Métrica principal: F1-macro de la cascada completa con IC95 por paciente (hoy 0.363; la etapa 2 aislada da 0.536, por eso se reporta siempre la cascada). Secundarias: etapa 1 con sensibilidad 0.762, especificidad 0.770, AUC 0.843 y VPP 0.455 a prevalencia real; abstención 6/6. Resultado</w:t>
      </w:r>
      <w:r>
        <w:t xml:space="preserve"> </w:t>
      </w:r>
      <w:r>
        <w:rPr>
          <w:i/>
          <w:iCs/>
        </w:rPr>
        <w:t xml:space="preserve">bueno</w:t>
      </w:r>
      <w:r>
        <w:t xml:space="preserve">: supera el baseline de reglas y alcanza kappa sistema–experto ≥ 0.61 (hoy 0.531, n = 68, solo infección: no alcanzado). Resultado</w:t>
      </w:r>
      <w:r>
        <w:t xml:space="preserve"> </w:t>
      </w:r>
      <w:r>
        <w:rPr>
          <w:i/>
          <w:iCs/>
        </w:rPr>
        <w:t xml:space="preserve">aceptable</w:t>
      </w:r>
      <w:r>
        <w:t xml:space="preserve">: supera el baseline lineal en cascada y F1 &gt; 0.5 en toda clase con n ≥ 100. Sistema/Organización, Sangre/Hemoderivados y Nutrición se declaran no viables por tamaño de muestra.</w:t>
      </w:r>
    </w:p>
    <w:p>
      <w:pPr>
        <w:pStyle w:val="BodyText"/>
      </w:pPr>
      <w:r>
        <w:rPr>
          <w:b/>
          <w:bCs/>
        </w:rPr>
        <w:t xml:space="preserve">Reproducibilidad.</w:t>
      </w:r>
      <w:r>
        <w:t xml:space="preserve"> </w:t>
      </w:r>
      <w:r>
        <w:t xml:space="preserve">Versiones: MIMIC-IV v3.1 (DOI 10.13026/kpb9-mt58), MIMIC-IV-Note v2.2 (DOI 10.13026/1n74-ne17), Python 3.13.5, DuckDB 1.5.2; scikit-learn por fijar. Semilla 42 en partición, muestreo y</w:t>
      </w:r>
      <w:r>
        <w:t xml:space="preserve"> </w:t>
      </w:r>
      <w:r>
        <w:rPr>
          <w:i/>
          <w:iCs/>
        </w:rPr>
        <w:t xml:space="preserve">bootstrap</w:t>
      </w:r>
      <w:r>
        <w:t xml:space="preserve">. Registro: un archivo JSON de resultados por fase y bitácoras fechadas. Artefactos: modelo final, conjunto de datos en Parquet, JSON de resultados y de métricas corregidas; datos y modelos fuera de git por el acuerdo de uso. Brecha que cierra el Sprint 1: dependencias con versiones fijadas, plantilla de variables de entorno, orquestador que encadene las fases, estructura data/raw y data/processed y README ejecutable; criterio de aceptación: regenerar el modelo final con un solo comando y obtener las mismas métricas (± 0.005).</w:t>
      </w:r>
    </w:p>
    <w:p>
      <w:pPr>
        <w:pStyle w:val="BodyText"/>
      </w:pPr>
      <w:r>
        <w:rPr>
          <w:b/>
          <w:bCs/>
        </w:rPr>
        <w:t xml:space="preserve">Riesgos técnicos previsibles y mitigación.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 (dónde se detectó)</w:t>
            </w:r>
          </w:p>
        </w:tc>
        <w:tc>
          <w:tcPr/>
          <w:p>
            <w:pPr>
              <w:pStyle w:val="Compact"/>
            </w:pPr>
            <w:r>
              <w:t xml:space="preserve">Mitigación en el 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circularidad regex → etiqueta (tesis y curso de PLN; enmascarar disparadores solo baja 1.35 puntos)</w:t>
            </w:r>
          </w:p>
        </w:tc>
        <w:tc>
          <w:tcPr/>
          <w:p>
            <w:pPr>
              <w:pStyle w:val="Compact"/>
            </w:pPr>
            <w:r>
              <w:t xml:space="preserve">Etiqueta A1 derivada de códigos causales, no del regex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Confusor de época CIE-9/CIE-10 (AUC 0.973 → 0.840 al emparejar)</w:t>
            </w:r>
          </w:p>
        </w:tc>
        <w:tc>
          <w:tcPr/>
          <w:p>
            <w:pPr>
              <w:pStyle w:val="Compact"/>
            </w:pPr>
            <w:r>
              <w:t xml:space="preserve">Emparejamiento de época en los negativos; se descarta la cifra 0.973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paciente y por centro asistencial (ERSP en GEM·VigIA: 0.77 estratificado → 0.42 por centro)</w:t>
            </w:r>
          </w:p>
        </w:tc>
        <w:tc>
          <w:tcPr/>
          <w:p>
            <w:pPr>
              <w:pStyle w:val="Compact"/>
            </w:pPr>
            <w:r>
              <w:t xml:space="preserve">Partición por paciente con verificación; OE5 re-medido por centro antes de citarse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estilo de redacción (triaje en GEM·VigIA: 98.4 %, y 91.5 % solo con palabras funcionales)</w:t>
            </w:r>
          </w:p>
        </w:tc>
        <w:tc>
          <w:tcPr/>
          <w:p>
            <w:pPr>
              <w:pStyle w:val="Compact"/>
            </w:pPr>
            <w:r>
              <w:t xml:space="preserve">Ablaciones de control; sin metadatos de quién redacta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Etiqueta débil y clases pequeñas (kappa 0.531 &lt; 0.61; Sistema/Organización F1 0.0 con n = 66)</w:t>
            </w:r>
          </w:p>
        </w:tc>
        <w:tc>
          <w:tcPr/>
          <w:p>
            <w:pPr>
              <w:pStyle w:val="Compact"/>
            </w:pPr>
            <w:r>
              <w:t xml:space="preserve">Panel experto como validación secundaria; clases no viables declaradas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cómputo, datos personales y pérdida de intermedios (transformers 2.9–42.5 h; ERSP con datos personales; 260 000 filas perdidas al morir un proceso)</w:t>
            </w:r>
          </w:p>
        </w:tc>
        <w:tc>
          <w:tcPr/>
          <w:p>
            <w:pPr>
              <w:pStyle w:val="Compact"/>
            </w:pPr>
            <w:r>
              <w:t xml:space="preserve">Familia lineal; datos fuera de git, repositorio privado y copias del ERSP anonimizadas; orquestador con</w:t>
            </w:r>
            <w:r>
              <w:t xml:space="preserve"> </w:t>
            </w:r>
            <w:r>
              <w:rPr>
                <w:i/>
                <w:iCs/>
              </w:rPr>
              <w:t xml:space="preserve">checkpoint</w:t>
            </w:r>
            <w:r>
              <w:t xml:space="preserve"> </w:t>
            </w:r>
            <w:r>
              <w:t xml:space="preserve">por fase</w:t>
            </w:r>
          </w:p>
        </w:tc>
      </w:tr>
    </w:tbl>
    <w:p>
      <w:r>
        <w:br w:type="page"/>
      </w:r>
    </w:p>
    <w:bookmarkEnd w:id="13"/>
    <w:bookmarkStart w:id="17" w:name="anexo-a.-diagrama-del-flujo-principal"/>
    <w:p>
      <w:pPr>
        <w:pStyle w:val="Heading1"/>
      </w:pPr>
      <w:r>
        <w:t xml:space="preserve">Anexo A. Diagrama del flujo principal</w:t>
      </w:r>
    </w:p>
    <w:p>
      <w:pPr>
        <w:pStyle w:val="FirstParagraph"/>
      </w:pPr>
      <w:r>
        <w:drawing>
          <wp:inline>
            <wp:extent cx="5334000" cy="3460937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_pipeline_semana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17"/>
    <w:bookmarkStart w:id="21" w:name="X5b3d13268f58e93d130cf00d8ebc2bf86aa741c"/>
    <w:p>
      <w:pPr>
        <w:pStyle w:val="Heading1"/>
      </w:pPr>
      <w:r>
        <w:t xml:space="preserve">Anexo B. Proceso de obtención de la base de datos MIMIC-IV</w:t>
      </w:r>
    </w:p>
    <w:p>
      <w:pPr>
        <w:pStyle w:val="FirstParagraph"/>
      </w:pPr>
      <w:r>
        <w:drawing>
          <wp:inline>
            <wp:extent cx="5334000" cy="338843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_acceso_mimi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4" Target="media/rId14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2026-09-25T22:19:35Z</dcterms:created>
  <dcterms:modified xsi:type="dcterms:W3CDTF">2026-09-25T22:19:35Z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