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629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62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sz w:val="26"/>
        </w:rPr>
        <w:t>UNIVERSIDAD NACIONAL DE INGENIERÍA</w:t>
      </w:r>
    </w:p>
    <w:p>
      <w:pPr>
        <w:spacing w:after="40"/>
        <w:jc w:val="center"/>
      </w:pPr>
      <w:r>
        <w:rPr>
          <w:b w:val="0"/>
          <w:i w:val="0"/>
          <w:sz w:val="22"/>
        </w:rPr>
        <w:t>Facultad de Ingeniería Industrial y de Sistemas</w:t>
      </w:r>
    </w:p>
    <w:p>
      <w:pPr>
        <w:spacing w:after="800"/>
        <w:jc w:val="center"/>
      </w:pPr>
      <w:r>
        <w:rPr>
          <w:b w:val="0"/>
          <w:i w:val="0"/>
          <w:sz w:val="22"/>
        </w:rPr>
        <w:t>Unidad de Posgrado · Maestría en Inteligencia Artificial</w:t>
      </w:r>
    </w:p>
    <w:p>
      <w:pPr>
        <w:spacing w:after="80"/>
        <w:jc w:val="center"/>
      </w:pPr>
      <w:r>
        <w:rPr>
          <w:b/>
          <w:i w:val="0"/>
          <w:sz w:val="40"/>
        </w:rPr>
        <w:t>MATRIZ DE CONSISTENCIA</w:t>
      </w:r>
    </w:p>
    <w:p>
      <w:pPr>
        <w:spacing w:after="600"/>
        <w:jc w:val="center"/>
      </w:pPr>
      <w:r>
        <w:rPr>
          <w:b w:val="0"/>
          <w:i w:val="0"/>
          <w:sz w:val="24"/>
        </w:rPr>
        <w:t>Curso: MIA-14 · Trabajo de Investigación II · Sección B · 2026-2</w:t>
      </w:r>
    </w:p>
    <w:p>
      <w:pPr>
        <w:spacing w:after="40"/>
        <w:jc w:val="center"/>
      </w:pPr>
      <w:r>
        <w:rPr>
          <w:b/>
          <w:i w:val="0"/>
          <w:sz w:val="18"/>
        </w:rPr>
        <w:t>PROCESO</w:t>
      </w:r>
    </w:p>
    <w:p>
      <w:pPr>
        <w:spacing w:after="560"/>
        <w:jc w:val="center"/>
      </w:pPr>
      <w:r>
        <w:rPr>
          <w:b w:val="0"/>
          <w:i w:val="0"/>
          <w:sz w:val="24"/>
        </w:rPr>
        <w:t>Coherencia entre problema, objetivos, hipótesis, variables y metodología del proyecto de tesis</w:t>
      </w:r>
    </w:p>
    <w:p>
      <w:pPr>
        <w:spacing w:after="40"/>
        <w:jc w:val="center"/>
      </w:pPr>
      <w:r>
        <w:rPr>
          <w:b/>
          <w:i w:val="0"/>
          <w:sz w:val="18"/>
        </w:rPr>
        <w:t>TESIS</w:t>
      </w:r>
    </w:p>
    <w:p>
      <w:pPr>
        <w:spacing w:after="720"/>
        <w:jc w:val="center"/>
      </w:pPr>
      <w:r>
        <w:rPr>
          <w:b w:val="0"/>
          <w:i/>
          <w:sz w:val="24"/>
        </w:rPr>
        <w:t>Detección Automatizada y Priorización de Eventos Adversos en Notas Clínicas mediante un Flujo de Procesamiento (Pipeline) de NLP y Aprendizaje Automático — Aplicación de la Matriz de Priorización del Modelo GEMSES sobre MIMIC-IV</w:t>
      </w:r>
    </w:p>
    <w:p>
      <w:pPr>
        <w:spacing w:after="40"/>
        <w:jc w:val="center"/>
      </w:pPr>
      <w:r>
        <w:rPr>
          <w:b w:val="0"/>
          <w:i w:val="0"/>
          <w:sz w:val="22"/>
        </w:rPr>
        <w:t>Autor: Carlos Pérez Pérez</w:t>
      </w:r>
    </w:p>
    <w:p>
      <w:pPr>
        <w:spacing w:after="40"/>
        <w:jc w:val="center"/>
      </w:pPr>
      <w:r>
        <w:rPr>
          <w:b w:val="0"/>
          <w:i w:val="0"/>
          <w:sz w:val="22"/>
        </w:rPr>
        <w:t>Docente: Dr. Ing. Glen Dario Rodríguez Rafael</w:t>
      </w:r>
    </w:p>
    <w:p>
      <w:pPr>
        <w:spacing w:after="800"/>
        <w:jc w:val="center"/>
      </w:pPr>
      <w:r>
        <w:rPr>
          <w:b w:val="0"/>
          <w:i w:val="0"/>
          <w:sz w:val="22"/>
        </w:rPr>
        <w:t>Fecha: octubre de 2026</w:t>
      </w:r>
    </w:p>
    <w:p>
      <w:pPr>
        <w:spacing w:after="120"/>
        <w:jc w:val="center"/>
      </w:pPr>
      <w:r>
        <w:rPr>
          <w:b w:val="0"/>
          <w:i w:val="0"/>
          <w:sz w:val="20"/>
        </w:rPr>
        <w:t>Lima — Perú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2"/>
        </w:rPr>
        <w:t>Matriz de consistencia de la investigación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Objetivos</w:t>
            </w:r>
          </w:p>
        </w:tc>
        <w:tc>
          <w:tcPr>
            <w:tcW w:type="dxa" w:w="277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type="dxa" w:w="294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Variables e indicadores</w:t>
            </w:r>
          </w:p>
        </w:tc>
        <w:tc>
          <w:tcPr>
            <w:tcW w:type="dxa" w:w="317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Metodología</w:t>
            </w:r>
          </w:p>
        </w:tc>
      </w:tr>
      <w:tr>
        <w:tc>
          <w:tcPr>
            <w:tcW w:type="dxa" w:w="2438"/>
            <w:shd w:val="clear" w:color="auto" w:fill="EAF2F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Problema general. </w:t>
            </w:r>
            <w:r>
              <w:rPr>
                <w:sz w:val="16"/>
              </w:rPr>
              <w:t>¿En qué medida un pipeline integrado de procesamiento de lenguaje natural y aprendizaje automático supervisado, aplicado sobre notas clínicas no estructuradas del dataset MIMIC-IV, permite detectar eventos adversos y aplicar la Matriz de Priorización del Modelo GEMSES —incluyendo la asignación automática del Nivel de Gestión y del responsable institucional— con una concordancia significativamente mayor a la clasificación manual experta tradicional?</w:t>
            </w:r>
          </w:p>
        </w:tc>
        <w:tc>
          <w:tcPr>
            <w:tcW w:type="dxa" w:w="2835"/>
            <w:shd w:val="clear" w:color="auto" w:fill="EAF2F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Objetivo general. </w:t>
            </w:r>
            <w:r>
              <w:rPr>
                <w:sz w:val="16"/>
              </w:rPr>
              <w:t>Diseñar, implementar y validar un sistema basado en procesamiento de lenguaje natural y aprendizaje automático que detecte eventos adversos a partir de notas clínicas no estructuradas de MIMIC-IV y los priorice automáticamente aplicando la Matriz de Priorización del Modelo GEMSES —incluyendo el cálculo automatizado del Nivel de Gestión y la asignación del responsable institucional—, con miras a su transferencia metodológica a sistemas sanitarios de habla hispana y, en particular, a la red asistencial de EsSalud.</w:t>
            </w:r>
          </w:p>
        </w:tc>
        <w:tc>
          <w:tcPr>
            <w:tcW w:type="dxa" w:w="2778"/>
            <w:shd w:val="clear" w:color="auto" w:fill="EAF2F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Hipótesis general. </w:t>
            </w:r>
            <w:r>
              <w:rPr>
                <w:sz w:val="16"/>
              </w:rPr>
              <w:t>Un pipeline integrado de procesamiento de lenguaje natural y aprendizaje automático supervisado, aplicado sobre notas clínicas no estructuradas de MIMIC-IV, permite detectar eventos adversos y aplicar automáticamente la Matriz de Priorización del Modelo GEMSES con una concordancia (kappa de Cohen) de al menos 0.61 —sustancial según Landis y Koch (1977)— respecto a la clasificación manual experta, demostrando la viabilidad de operacionalizar el modelo sobre datos clínicos reales de forma reproducible y transferible.</w:t>
            </w:r>
          </w:p>
        </w:tc>
        <w:tc>
          <w:tcPr>
            <w:tcW w:type="dxa" w:w="2948"/>
            <w:shd w:val="clear" w:color="auto" w:fill="EAF2F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Variable independiente: </w:t>
            </w:r>
            <w:r>
              <w:rPr>
                <w:sz w:val="16"/>
              </w:rPr>
              <w:t>arquitectura del modelo de clasificación (clásico TF-IDF/LinearSVC frente a transformer BioBERT/ClinicalBERT).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Variables dependientes: </w:t>
            </w:r>
            <w:r>
              <w:rPr>
                <w:sz w:val="16"/>
              </w:rPr>
              <w:t>concordancia con el experto (kappa de Cohen y PABAK, global y por etiqueta, con IC 95 %); desempeño de clasificación (F1 ponderado formulado en el proyecto y F1-macro adoptado por el desbalance de clases; sensibilidad, especificidad y AUC en la detección); nivel de gestión asignado (Verde/Amarillo/Rojo).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Variables intervinientes: </w:t>
            </w:r>
            <w:r>
              <w:rPr>
                <w:sz w:val="16"/>
              </w:rPr>
              <w:t>desbalance de clases (proporción de notas por naturaleza del Anexo 02); negaciones en el texto (menciones negadas filtradas por NegEx); cobertura del mapeo CIE-10 (número de códigos curados).</w:t>
            </w:r>
          </w:p>
        </w:tc>
        <w:tc>
          <w:tcPr>
            <w:tcW w:type="dxa" w:w="3175"/>
            <w:shd w:val="clear" w:color="auto" w:fill="EAF2F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Tipo: </w:t>
            </w:r>
            <w:r>
              <w:rPr>
                <w:sz w:val="16"/>
              </w:rPr>
              <w:t>aplicada y tecnológica; enfoque cuantitativo.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Nivel: </w:t>
            </w:r>
            <w:r>
              <w:rPr>
                <w:sz w:val="16"/>
              </w:rPr>
              <w:t>descriptivo-correlacional.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Diseño: </w:t>
            </w:r>
            <w:r>
              <w:rPr>
                <w:sz w:val="16"/>
              </w:rPr>
              <w:t>no experimental, transversal (un único corte de MIMIC-IV v3.1 y MIMIC-IV-Note v2.2).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Método: </w:t>
            </w:r>
            <w:r>
              <w:rPr>
                <w:sz w:val="16"/>
              </w:rPr>
              <w:t>deductivo y de desarrollo tecnológico, en tres fases: analítica, de síntesis y de validación.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Población: </w:t>
            </w:r>
            <w:r>
              <w:rPr>
                <w:sz w:val="16"/>
              </w:rPr>
              <w:t>331 793 epicrisis de MIMIC-IV-Note v2.2 de 145 914 pacientes del Beth Israel Deaconess Medical Center (2008–2019), con 545 497 hospitalizaciones en el módulo hospitalario.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PE1. </w:t>
            </w:r>
            <w:r>
              <w:rPr>
                <w:sz w:val="16"/>
              </w:rPr>
              <w:t>¿La supervisión débil basada en códigos ICD-10 y patrones de texto, depurada con NegEx, produce un corpus etiquetado con cobertura suficiente de las naturalezas de evento del Anexo 02?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OE1. </w:t>
            </w:r>
            <w:r>
              <w:rPr>
                <w:sz w:val="16"/>
              </w:rPr>
              <w:t>Construir un corpus etiquetado de eventos adversos a partir de notas clínicas no estructuradas de MIMIC-IV, utilizando como marco los 188 eventos detectables (de los 231 del Anexo 02 de la Directiva N.º 7-OGCyH-ESSALUD-2020), clasificados en cuatro niveles de detección: (A) ICD-10 + NLP, (B) patrones de texto libre, (C) variables estructuradas calculadas y (D) auditoría de completitud de historia clínica.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HE1. </w:t>
            </w:r>
            <w:r>
              <w:rPr>
                <w:sz w:val="16"/>
              </w:rPr>
              <w:t>La supervisión débil basada en códigos ICD-10 y patrones de texto, depurada con NegEx, produce un corpus etiquetado con cobertura suficiente de las naturalezas de evento del Anexo 02 para entrenar modelos supervisados.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6"/>
              </w:rPr>
              <w:t>Naturalezas del Anexo 02 cubiertas por el corpus; número de notas candidatas por nivel de detección (A, B, C, D); menciones negadas filtradas por NegEx; cobertura del mapeo CIE-10 (149 códigos formulados, ampliados a 272 entradas tras la homologación CIE-10 OMS → CIE-10-CM).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Técnica: </w:t>
            </w:r>
            <w:r>
              <w:rPr>
                <w:sz w:val="16"/>
              </w:rPr>
              <w:t>observación documental automatizada sobre datos secundarios; supervisión débil (reglas sobre códigos CIE-10 y patrones de texto) depurada con NegEx.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Instrumentos: </w:t>
            </w:r>
            <w:r>
              <w:rPr>
                <w:sz w:val="16"/>
              </w:rPr>
              <w:t>tabla Anexo 02 ↔ CIE-10 (272 filas, 223 códigos únicos) y equivalencias CIE-10 OMS → CIE-10-CM; lectura de las 331 793 epicrisis con DuckDB.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PE2. </w:t>
            </w:r>
            <w:r>
              <w:rPr>
                <w:sz w:val="16"/>
              </w:rPr>
              <w:t>¿En qué medida los modelos transformer biomédicos superan a los modelos clásicos (TF-IDF con regresión logística y LinearSVC) en la clasificación de eventos adversos en texto libre?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OE2. </w:t>
            </w:r>
            <w:r>
              <w:rPr>
                <w:sz w:val="16"/>
              </w:rPr>
              <w:t>Implementar y comparar al menos tres modelos de procesamiento de lenguaje natural para la detección y clasificación de eventos adversos en texto libre, incluyendo transformers biomédicos (BioBERT, Bio+Clinical BERT) y modelos clásicos de referencia (TF-IDF con regresión logística y LinearSVC).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HE2. </w:t>
            </w:r>
            <w:r>
              <w:rPr>
                <w:sz w:val="16"/>
              </w:rPr>
              <w:t>Los modelos transformer biomédicos (BioBERT, Bio+Clinical BERT), tras ajuste fino, superan en F1 ponderado a los modelos clásicos de referencia (TF-IDF con regresión logística y LinearSVC).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6"/>
              </w:rPr>
              <w:t>F1 ponderado y F1-macro por modelo; precisión y recall por clase; sensibilidad, especificidad y AUC en la detección binaria.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Muestra de modelado: </w:t>
            </w:r>
            <w:r>
              <w:rPr>
                <w:sz w:val="16"/>
              </w:rPr>
              <w:t>70 000 epicrisis (37 692 positivas), con dos negativos por positivo emparejados por época de codificación; partición por paciente, semilla 42.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Modelos: </w:t>
            </w:r>
            <w:r>
              <w:rPr>
                <w:sz w:val="16"/>
              </w:rPr>
              <w:t>TF-IDF con regresión logística y LinearSVC; BioBERT, Bio_ClinicalBERT y BioClinical ModernBERT con ajuste fino; Llama 3.2 3B en local como control.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Análisis: </w:t>
            </w:r>
            <w:r>
              <w:rPr>
                <w:sz w:val="16"/>
              </w:rPr>
              <w:t>F1-macro con IC 95 % por bootstrap agrupado por paciente (2 000 remuestreos); misma partición y semilla para todos los modelos.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PE3. </w:t>
            </w:r>
            <w:r>
              <w:rPr>
                <w:sz w:val="16"/>
              </w:rPr>
              <w:t>¿La automatización de la fórmula de priorización GEMSES reproduce el Nivel de Gestión (Verde/Amarillo/Rojo) y el responsable institucional sin intervención manual?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OE3. </w:t>
            </w:r>
            <w:r>
              <w:rPr>
                <w:sz w:val="16"/>
              </w:rPr>
              <w:t>Automatizar la priorización GEMSES aplicando a cada evento detectado la cadena Nivel de Riesgo = Frecuencia × Impacto, con los pesos de impacto del Anexo 02 y las cuatro dimensiones del Modelo GEMSES (Tiempo, Calidad, Costos y Satisfacción del paciente), y determinar automáticamente el Nivel de Gestión (Verde/Amarillo/Rojo) y el responsable institucional.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HE3. </w:t>
            </w:r>
            <w:r>
              <w:rPr>
                <w:sz w:val="16"/>
              </w:rPr>
              <w:t>La automatización de la fórmula de priorización GEMSES reproduce el Nivel de Gestión (Verde/Amarillo/Rojo) y el responsable institucional sin intervención manual.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6"/>
              </w:rPr>
              <w:t>Nivel de Riesgo (Frecuencia × Impacto); Nivel de Gestión asignado (Verde/Amarillo/Rojo); responsable institucional asignado; ponderación de las dimensiones Tiempo, Calidad, Costos y Satisfacción.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Instrumento: </w:t>
            </w:r>
            <w:r>
              <w:rPr>
                <w:sz w:val="16"/>
              </w:rPr>
              <w:t>Matriz de Priorización del Modelo GEMSES (Anexos 02 y 03 de la Directiva N.º 7-OGCyH-ESSALUD-2020; Pérez Pérez, 2021).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Procedimiento: </w:t>
            </w:r>
            <w:r>
              <w:rPr>
                <w:sz w:val="16"/>
              </w:rPr>
              <w:t>cálculo automatizado de la cadena Frecuencia × Impacto → Nivel de Gestión → Responsable para cada evento detectado.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PE4. </w:t>
            </w:r>
            <w:r>
              <w:rPr>
                <w:sz w:val="16"/>
              </w:rPr>
              <w:t>¿Cuál es el desempeño comparativo del pipeline frente a la revisión manual de dos evaluadores expertos sobre una muestra estratificada de notas?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OE4. </w:t>
            </w:r>
            <w:r>
              <w:rPr>
                <w:sz w:val="16"/>
              </w:rPr>
              <w:t>Validar la precisión del pipeline comparando sus resultados con la revisión manual independiente de dos evaluadores expertos sobre una muestra estratificada de 350 notas clínicas, evaluando el acuerdo inter-evaluador y la concordancia del sistema con el consenso de ambos.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HE4. </w:t>
            </w:r>
            <w:r>
              <w:rPr>
                <w:sz w:val="16"/>
              </w:rPr>
              <w:t>El acuerdo entre los dos evaluadores expertos es sustancial y la concordancia entre el pipeline y su consenso alcanza un kappa de Cohen ≥ 0.61 sobre la muestra estratificada.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6"/>
              </w:rPr>
              <w:t>Kappa inter-evaluador; kappa pipeline–consenso con IC 95 % bootstrap BCa; acuerdo observado; PABAK; índices de prevalencia y sesgo.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Muestra: </w:t>
            </w:r>
            <w:r>
              <w:rPr>
                <w:sz w:val="16"/>
              </w:rPr>
              <w:t>prevista de 350 notas estratificadas por naturaleza; ejecutada como muestra ciega de 250 casos del estrato de infección (semilla 42) más 30 controles negativos (semilla 77).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Instrumentos: </w:t>
            </w:r>
            <w:r>
              <w:rPr>
                <w:sz w:val="16"/>
              </w:rPr>
              <w:t>manual de anotación v2 y aplicación de revisión ciega; dos anotadores independientes.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Análisis: </w:t>
            </w:r>
            <w:r>
              <w:rPr>
                <w:sz w:val="16"/>
              </w:rPr>
              <w:t>kappa de Cohen con intervalo BCa (10 000 remuestreos) y PABAK; interpretación según Landis y Koch (1977).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PE5. </w:t>
            </w:r>
            <w:r>
              <w:rPr>
                <w:sz w:val="16"/>
              </w:rPr>
              <w:t>¿Es transferible el método a notas clínicas en español y qué retos lingüísticos, taxonómicos y de localización deben abordarse para su implementación en EsSalud?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OE5. </w:t>
            </w:r>
            <w:r>
              <w:rPr>
                <w:sz w:val="16"/>
              </w:rPr>
              <w:t>Documentar el método de transferencia del pipeline a sistemas sanitarios de habla hispana, identificando los retos lingüísticos, taxonómicos y de localización que deberán abordarse para su implementación en EsSalud u otras instituciones equivalentes.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HE5. </w:t>
            </w:r>
            <w:r>
              <w:rPr>
                <w:sz w:val="16"/>
              </w:rPr>
              <w:t>El método es transferible a notas clínicas en español apoyándose en recursos como BETO y MedLexSp.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16"/>
              </w:rPr>
              <w:t>Protocolo de transferencia documentado; retos lingüísticos, taxonómicos y de localización identificados; desempeño de la clasificación sobre el corpus en español.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Corpus de transferencia: </w:t>
            </w:r>
            <w:r>
              <w:rPr>
                <w:sz w:val="16"/>
              </w:rPr>
              <w:t>base ERSP de EsSalud, 8 799 registros en español codificados contra los Anexos 02 y 03; 6 336 registros únicos tras retirar textos cortos y deduplicar.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Análisis: </w:t>
            </w:r>
            <w:r>
              <w:rPr>
                <w:sz w:val="16"/>
              </w:rPr>
              <w:t>misma familia de modelos y métricas que en OE2, sobre las tareas evento/incidente, naturaleza y severidad.</w:t>
            </w:r>
          </w:p>
        </w:tc>
      </w:tr>
    </w:tbl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