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4"/>
          <w:szCs w:val="24"/>
        </w:rPr>
        <w:t xml:space="preserve">MIA303 — TRABAJO DE INVESTIGACIÓN I</w:t>
      </w:r>
    </w:p>
    <w:p>
      <w:pPr>
        <w:spacing w:after="200"/>
        <w:jc w:val="center"/>
      </w:pPr>
      <w:r>
        <w:rPr>
          <w:b/>
          <w:bCs/>
          <w:sz w:val="24"/>
          <w:szCs w:val="24"/>
        </w:rPr>
        <w:t xml:space="preserve">UNIVERSIDAD NACIONAL DE INGENIERÍA</w:t>
      </w:r>
    </w:p>
    <w:p>
      <w:pPr>
        <w:spacing w:after="200"/>
        <w:jc w:val="center"/>
      </w:pPr>
      <w:r>
        <w:rPr>
          <w:b/>
          <w:bCs/>
          <w:sz w:val="22"/>
          <w:szCs w:val="22"/>
        </w:rPr>
        <w:t xml:space="preserve">UNIDAD DE POSGRADO DE LA FACULTAD DE INGENIERÍA INDUSTRIAL Y DE SISTEMAS</w:t>
      </w:r>
    </w:p>
    <w:p>
      <w:pPr>
        <w:spacing w:after="200" w:before="800"/>
        <w:jc w:val="center"/>
      </w:pPr>
      <w:r>
        <w:rPr>
          <w:b/>
          <w:bCs/>
          <w:color w:val="1F3864"/>
          <w:sz w:val="28"/>
          <w:szCs w:val="28"/>
        </w:rPr>
        <w:t xml:space="preserve">RESUMEN DE 12 ARTÍCULOS:</w:t>
      </w:r>
    </w:p>
    <w:p>
      <w:pPr>
        <w:spacing w:after="800"/>
        <w:jc w:val="center"/>
      </w:pPr>
      <w:r>
        <w:rPr>
          <w:b/>
          <w:bCs/>
          <w:i/>
          <w:iCs/>
          <w:sz w:val="24"/>
          <w:szCs w:val="24"/>
        </w:rPr>
        <w:t xml:space="preserve">Detección de eventos adversos en notas clínicas mediante un flujo de procesamiento (pipeline) de NLP y aplicación de la Matriz de Priorización del Modelo GEMSES sobre MIMIC-IV</w:t>
      </w:r>
    </w:p>
    <w:p>
      <w:pPr>
        <w:spacing w:after="200"/>
        <w:jc w:val="left"/>
      </w:pPr>
      <w:r>
        <w:rPr>
          <w:b/>
          <w:bCs/>
          <w:sz w:val="22"/>
          <w:szCs w:val="22"/>
        </w:rPr>
        <w:t xml:space="preserve">Alumno:</w:t>
      </w:r>
    </w:p>
    <w:p>
      <w:pPr>
        <w:spacing w:after="100"/>
        <w:jc w:val="left"/>
      </w:pPr>
      <w:r>
        <w:rPr>
          <w:sz w:val="22"/>
          <w:szCs w:val="22"/>
        </w:rPr>
        <w:t xml:space="preserve">• Carlos Pérez Pérez</w:t>
      </w:r>
    </w:p>
    <w:p>
      <w:pPr>
        <w:spacing w:after="200" w:before="400"/>
        <w:jc w:val="left"/>
      </w:pPr>
      <w:r>
        <w:rPr>
          <w:sz w:val="22"/>
          <w:szCs w:val="22"/>
        </w:rPr>
        <w:t xml:space="preserve">Fecha: 10 de mayo de 2026</w:t>
      </w:r>
    </w:p>
    <w:p>
      <w:pPr>
        <w:spacing w:after="100"/>
        <w:jc w:val="left"/>
      </w:pPr>
      <w:r>
        <w:rPr>
          <w:sz w:val="22"/>
          <w:szCs w:val="22"/>
        </w:rPr>
        <w:t xml:space="preserve">Curso: MIA 303 – Proyectos de Investigación I</w:t>
      </w:r>
    </w:p>
    <w:p>
      <w:pPr>
        <w:spacing w:after="100"/>
        <w:jc w:val="left"/>
      </w:pPr>
      <w:r>
        <w:rPr>
          <w:sz w:val="22"/>
          <w:szCs w:val="22"/>
        </w:rPr>
        <w:t xml:space="preserve">Docente: Mg. Eng. Maria F. Tejada Begazo</w:t>
      </w:r>
    </w:p>
    <w:p>
      <w:r>
        <w:br w:type="page"/>
      </w:r>
    </w:p>
    <w:p>
      <w:pPr>
        <w:pStyle w:val="Heading1"/>
        <w:spacing w:after="200" w:before="360"/>
      </w:pPr>
      <w:r>
        <w:rPr>
          <w:b/>
          <w:bCs/>
          <w:color w:val="1F3864"/>
          <w:sz w:val="32"/>
          <w:szCs w:val="32"/>
        </w:rPr>
        <w:t xml:space="preserve">Convenciones del documento</w:t>
      </w:r>
    </w:p>
    <w:p>
      <w:pPr>
        <w:spacing w:after="120" w:line="320"/>
        <w:jc w:val="both"/>
      </w:pPr>
      <w:r>
        <w:rPr>
          <w:b w:val="false"/>
          <w:bCs w:val="false"/>
          <w:i w:val="false"/>
          <w:iCs w:val="false"/>
          <w:sz w:val="22"/>
          <w:szCs w:val="22"/>
        </w:rPr>
        <w:t xml:space="preserve">Por tratarse de una investigación académica sometida a estándares de rigor científico, el presente documento aplica las siguientes convenciones formales para distinguir las afirmaciones tomadas de los autores frente al análisis e interpretación realizados por el alumno.</w:t>
      </w:r>
    </w:p>
    <w:p>
      <w:pPr>
        <w:pStyle w:val="ListParagraph"/>
        <w:numPr>
          <w:ilvl w:val="0"/>
          <w:numId w:val="2"/>
        </w:numPr>
        <w:spacing w:after="60" w:line="300"/>
      </w:pPr>
      <w:r>
        <w:rPr>
          <w:sz w:val="22"/>
          <w:szCs w:val="22"/>
        </w:rPr>
        <w:t xml:space="preserve">Las afirmaciones, definiciones, descripciones de método y hallazgos tomados literalmente o parafraseados de los autores aparecen entre comillas latinas «...» y en cursiva.</w:t>
      </w:r>
    </w:p>
    <w:p>
      <w:pPr>
        <w:pStyle w:val="ListParagraph"/>
        <w:numPr>
          <w:ilvl w:val="0"/>
          <w:numId w:val="2"/>
        </w:numPr>
        <w:spacing w:after="60" w:line="300"/>
      </w:pPr>
      <w:r>
        <w:rPr>
          <w:sz w:val="22"/>
          <w:szCs w:val="22"/>
        </w:rPr>
        <w:t xml:space="preserve">El texto sin comillas y sin cursiva, especialmente en las secciones «Crítica Personal» de cada artículo y en la sección 3 «Desarrollo de la investigación», corresponde al análisis e interpretación realizados por el alumno como autor de la presente propuesta de tesis.</w:t>
      </w:r>
    </w:p>
    <w:p>
      <w:pPr>
        <w:pStyle w:val="ListParagraph"/>
        <w:numPr>
          <w:ilvl w:val="0"/>
          <w:numId w:val="2"/>
        </w:numPr>
        <w:spacing w:after="60" w:line="300"/>
      </w:pPr>
      <w:r>
        <w:rPr>
          <w:sz w:val="22"/>
          <w:szCs w:val="22"/>
        </w:rPr>
        <w:t xml:space="preserve">Las fórmulas matemáticas reportadas por los autores se presentan en bloque destacado con numeración secuencial (Ecuación 1, Ecuación 2, etc.).</w:t>
      </w:r>
    </w:p>
    <w:p>
      <w:pPr>
        <w:pStyle w:val="ListParagraph"/>
        <w:numPr>
          <w:ilvl w:val="0"/>
          <w:numId w:val="2"/>
        </w:numPr>
        <w:spacing w:after="60" w:line="300"/>
      </w:pPr>
      <w:r>
        <w:rPr>
          <w:sz w:val="22"/>
          <w:szCs w:val="22"/>
        </w:rPr>
        <w:t xml:space="preserve">El término inglés «pipeline» se utiliza la primera vez junto a su traducción «flujo de procesamiento»; en menciones posteriores se emplea cualquiera de las dos formas indistintamente.</w:t>
      </w:r>
    </w:p>
    <w:p>
      <w:pPr>
        <w:spacing w:after="120" w:line="320"/>
        <w:jc w:val="both"/>
      </w:pPr>
      <w:r>
        <w:rPr>
          <w:b w:val="false"/>
          <w:bCs w:val="false"/>
          <w:i w:val="false"/>
          <w:iCs w:val="false"/>
          <w:sz w:val="22"/>
          <w:szCs w:val="22"/>
        </w:rPr>
        <w:t xml:space="preserve">Esta convención permite al lector identificar con precisión qué afirmaciones provienen del corpus revisado y cuáles constituyen contribución analítica original del autor de la tesis.</w:t>
      </w:r>
    </w:p>
    <w:p>
      <w:r>
        <w:br w:type="page"/>
      </w:r>
    </w:p>
    <w:p>
      <w:pPr>
        <w:pStyle w:val="Heading1"/>
        <w:spacing w:after="200" w:before="360"/>
      </w:pPr>
      <w:r>
        <w:rPr>
          <w:b/>
          <w:bCs/>
          <w:color w:val="1F3864"/>
          <w:sz w:val="32"/>
          <w:szCs w:val="32"/>
        </w:rPr>
        <w:t xml:space="preserve">Contextualización</w:t>
      </w:r>
    </w:p>
    <w:p>
      <w:pPr>
        <w:spacing w:after="120" w:line="320"/>
        <w:jc w:val="both"/>
      </w:pPr>
      <w:r>
        <w:rPr>
          <w:b w:val="false"/>
          <w:bCs w:val="false"/>
          <w:i w:val="false"/>
          <w:iCs w:val="false"/>
          <w:sz w:val="22"/>
          <w:szCs w:val="22"/>
        </w:rPr>
        <w:t xml:space="preserve">Este documento presenta el resumen estructurado de doce artículos científicos seleccionados como sustento bibliográfico de la propuesta de tesis de Maestría en Inteligencia Artificial titulada «Detección automatizada y priorización de eventos adversos desde notas clínicas no estructuradas mediante un flujo de procesamiento (pipeline) de procesamiento de lenguaje natural y aprendizaje automático: aplicación de la Matriz de Priorización del Modelo GEMSES sobre el dataset MIMIC-IV».</w:t>
      </w:r>
    </w:p>
    <w:p>
      <w:pPr>
        <w:spacing w:after="120" w:line="320"/>
        <w:jc w:val="both"/>
      </w:pPr>
      <w:r>
        <w:rPr>
          <w:b w:val="false"/>
          <w:bCs w:val="false"/>
          <w:i w:val="false"/>
          <w:iCs w:val="false"/>
          <w:sz w:val="22"/>
          <w:szCs w:val="22"/>
        </w:rPr>
        <w:t xml:space="preserve">Los artículos se organizan en tres temas interrelacionados, cuatro artículos por tema:</w:t>
      </w:r>
    </w:p>
    <w:p>
      <w:pPr>
        <w:pStyle w:val="ListParagraph"/>
        <w:numPr>
          <w:ilvl w:val="0"/>
          <w:numId w:val="2"/>
        </w:numPr>
        <w:spacing w:after="60" w:line="300"/>
      </w:pPr>
      <w:r>
        <w:rPr>
          <w:sz w:val="22"/>
          <w:szCs w:val="22"/>
        </w:rPr>
        <w:t xml:space="preserve">Tema 1 (artículos 1-4): Detección de eventos adversos en notas clínicas mediante procesamiento de lenguaje natural, incluyendo recursos lingüísticos para español.</w:t>
      </w:r>
    </w:p>
    <w:p>
      <w:pPr>
        <w:pStyle w:val="ListParagraph"/>
        <w:numPr>
          <w:ilvl w:val="0"/>
          <w:numId w:val="2"/>
        </w:numPr>
        <w:spacing w:after="60" w:line="300"/>
      </w:pPr>
      <w:r>
        <w:rPr>
          <w:sz w:val="22"/>
          <w:szCs w:val="22"/>
        </w:rPr>
        <w:t xml:space="preserve">Tema 2 (artículos 5-8): Uso del dataset MIMIC-IV en investigación de seguridad del paciente, predicción clínica y modelado multimodal.</w:t>
      </w:r>
    </w:p>
    <w:p>
      <w:pPr>
        <w:pStyle w:val="ListParagraph"/>
        <w:numPr>
          <w:ilvl w:val="0"/>
          <w:numId w:val="2"/>
        </w:numPr>
        <w:spacing w:after="60" w:line="300"/>
      </w:pPr>
      <w:r>
        <w:rPr>
          <w:sz w:val="22"/>
          <w:szCs w:val="22"/>
        </w:rPr>
        <w:t xml:space="preserve">Tema 3 (artículos 9-12): Modelos de priorización de riesgo (FMEA y variantes) y matrices de impacto en gestión sanitaria, con automatización mediante IA.</w:t>
      </w:r>
    </w:p>
    <w:p>
      <w:pPr>
        <w:spacing w:after="120" w:line="320"/>
        <w:jc w:val="both"/>
      </w:pPr>
      <w:r>
        <w:rPr>
          <w:b w:val="false"/>
          <w:bCs w:val="false"/>
          <w:i w:val="false"/>
          <w:iCs w:val="false"/>
          <w:sz w:val="22"/>
          <w:szCs w:val="22"/>
        </w:rPr>
        <w:t xml:space="preserve">La triangulación de los tres temas justifica la pertinencia y originalidad de la propuesta de tesis, que combina técnicas consolidadas de NLP biomédico con el dataset abierto MIMIC-IV y la operacionalización automatizada de la Matriz de Priorización del Modelo GEMSES, publicado por el autor en 2021 y adoptado normativamente por EsSalud mediante la Directiva GG-ESSALUD-2021.</w:t>
      </w:r>
    </w:p>
    <w:p>
      <w:r>
        <w:br w:type="page"/>
      </w:r>
    </w:p>
    <w:p>
      <w:pPr>
        <w:pStyle w:val="Heading1"/>
        <w:spacing w:after="200" w:before="360"/>
      </w:pPr>
      <w:r>
        <w:rPr>
          <w:b/>
          <w:bCs/>
          <w:color w:val="1F3864"/>
          <w:sz w:val="32"/>
          <w:szCs w:val="32"/>
        </w:rPr>
        <w:t xml:space="preserve">1. Resumen de Artículos</w:t>
      </w:r>
    </w:p>
    <w:p>
      <w:pPr>
        <w:spacing w:after="60" w:before="360"/>
      </w:pPr>
      <w:r>
        <w:rPr>
          <w:b/>
          <w:bCs/>
          <w:color w:val="1F3864"/>
          <w:sz w:val="22"/>
          <w:szCs w:val="22"/>
        </w:rPr>
        <w:t xml:space="preserve">Artículo [1]</w:t>
      </w:r>
    </w:p>
    <w:p>
      <w:pPr>
        <w:spacing w:after="60"/>
      </w:pPr>
      <w:r>
        <w:rPr>
          <w:b/>
          <w:bCs/>
          <w:sz w:val="22"/>
          <w:szCs w:val="22"/>
        </w:rPr>
        <w:t xml:space="preserve">Title (EN):  </w:t>
      </w:r>
      <w:r>
        <w:rPr>
          <w:i/>
          <w:iCs/>
          <w:sz w:val="22"/>
          <w:szCs w:val="22"/>
        </w:rPr>
        <w:t xml:space="preserve">Extracting adverse drug events from clinical Notes: A systematic review of approaches used</w:t>
      </w:r>
    </w:p>
    <w:p>
      <w:pPr>
        <w:spacing w:after="120"/>
      </w:pPr>
      <w:r>
        <w:rPr>
          <w:b/>
          <w:bCs/>
          <w:sz w:val="22"/>
          <w:szCs w:val="22"/>
        </w:rPr>
        <w:t xml:space="preserve">Título (ES):  </w:t>
      </w:r>
      <w:r>
        <w:rPr>
          <w:i/>
          <w:iCs/>
          <w:sz w:val="22"/>
          <w:szCs w:val="22"/>
        </w:rPr>
        <w:t xml:space="preserve">Extracción de eventos adversos por medicamentos desde notas clínicas: revisión sistemática de los enfoques utilizados</w:t>
      </w:r>
    </w:p>
    <w:p>
      <w:pPr>
        <w:spacing w:after="60" w:before="120"/>
      </w:pPr>
      <w:r>
        <w:rPr>
          <w:b/>
          <w:bCs/>
          <w:sz w:val="22"/>
          <w:szCs w:val="22"/>
        </w:rPr>
        <w:t xml:space="preserve">Autor(es):</w:t>
      </w:r>
    </w:p>
    <w:p>
      <w:pPr>
        <w:pStyle w:val="ListParagraph"/>
        <w:numPr>
          <w:ilvl w:val="0"/>
          <w:numId w:val="2"/>
        </w:numPr>
        <w:spacing w:after="60" w:line="300"/>
      </w:pPr>
      <w:r>
        <w:rPr>
          <w:sz w:val="22"/>
          <w:szCs w:val="22"/>
        </w:rPr>
        <w:t xml:space="preserve">Shaina Modi</w:t>
      </w:r>
    </w:p>
    <w:p>
      <w:pPr>
        <w:pStyle w:val="ListParagraph"/>
        <w:numPr>
          <w:ilvl w:val="0"/>
          <w:numId w:val="2"/>
        </w:numPr>
        <w:spacing w:after="60" w:line="300"/>
      </w:pPr>
      <w:r>
        <w:rPr>
          <w:sz w:val="22"/>
          <w:szCs w:val="22"/>
        </w:rPr>
        <w:t xml:space="preserve">Sue S. Feldman</w:t>
      </w:r>
    </w:p>
    <w:p>
      <w:pPr>
        <w:spacing w:after="60" w:before="120"/>
      </w:pPr>
      <w:r>
        <w:rPr>
          <w:b/>
          <w:bCs/>
          <w:sz w:val="22"/>
          <w:szCs w:val="22"/>
        </w:rPr>
        <w:t xml:space="preserve">Fuente:</w:t>
      </w:r>
    </w:p>
    <w:p>
      <w:pPr>
        <w:spacing w:after="120" w:line="320"/>
        <w:jc w:val="both"/>
      </w:pPr>
      <w:r>
        <w:rPr>
          <w:b w:val="false"/>
          <w:bCs w:val="false"/>
          <w:i w:val="false"/>
          <w:iCs w:val="false"/>
          <w:sz w:val="22"/>
          <w:szCs w:val="22"/>
        </w:rPr>
        <w:t xml:space="preserve">Journal of Biomedical Informatics, vol. 151, art. 104603. Elsevier</w:t>
      </w:r>
    </w:p>
    <w:p>
      <w:pPr>
        <w:spacing w:after="120" w:line="320"/>
        <w:jc w:val="both"/>
      </w:pPr>
      <w:r>
        <w:rPr>
          <w:b w:val="false"/>
          <w:bCs w:val="false"/>
          <w:i w:val="false"/>
          <w:iCs w:val="false"/>
          <w:sz w:val="22"/>
          <w:szCs w:val="22"/>
        </w:rPr>
        <w:t xml:space="preserve">Año de publicación: 2024</w:t>
      </w:r>
    </w:p>
    <w:p>
      <w:pPr>
        <w:spacing w:after="60"/>
      </w:pPr>
      <w:r>
        <w:rPr>
          <w:b/>
          <w:bCs/>
          <w:sz w:val="20"/>
          <w:szCs w:val="20"/>
        </w:rPr>
        <w:t xml:space="preserve">DOI:  </w:t>
      </w:r>
      <w:r>
        <w:rPr>
          <w:rFonts w:ascii="Consolas" w:cs="Consolas" w:eastAsia="Consolas" w:hAnsi="Consolas"/>
          <w:sz w:val="20"/>
          <w:szCs w:val="20"/>
        </w:rPr>
        <w:t xml:space="preserve">10.1016/j.jbi.2024.104603</w:t>
      </w:r>
    </w:p>
    <w:p>
      <w:pPr>
        <w:spacing w:after="60"/>
      </w:pPr>
      <w:r>
        <w:rPr>
          <w:b/>
          <w:bCs/>
          <w:sz w:val="20"/>
          <w:szCs w:val="20"/>
        </w:rPr>
        <w:t xml:space="preserve">Enlace al artículo:  </w:t>
      </w:r>
      <w:hyperlink w:history="1" r:id="rIdhcsopgukdtcdbqjixke_m">
        <w:r>
          <w:rPr>
            <w:rStyle w:val="Hyperlink"/>
            <w:color w:val="2E74B5"/>
            <w:sz w:val="18"/>
            <w:szCs w:val="18"/>
            <w:u w:val="single"/>
          </w:rPr>
          <w:t xml:space="preserve">https://www.sciencedirect.com/science/article/pii/S1532046424000212</w:t>
        </w:r>
      </w:hyperlink>
    </w:p>
    <w:p>
      <w:pPr>
        <w:spacing w:after="120" w:before="200"/>
      </w:pPr>
      <w:r>
        <w:rPr>
          <w:b/>
          <w:bCs/>
          <w:color w:val="2E74B5"/>
          <w:sz w:val="22"/>
          <w:szCs w:val="22"/>
        </w:rPr>
        <w:t xml:space="preserve">1.1  Objetivo del artículo</w:t>
      </w:r>
    </w:p>
    <w:p>
      <w:pPr>
        <w:spacing w:after="120" w:line="320"/>
        <w:jc w:val="both"/>
      </w:pPr>
      <w:r>
        <w:rPr>
          <w:i/>
          <w:iCs/>
          <w:color w:val="1F3864"/>
          <w:sz w:val="22"/>
          <w:szCs w:val="22"/>
        </w:rPr>
        <w:t xml:space="preserve">«El propósito principal del artículo es sintetizar de manera sistemática el estado del arte sobre las aproximaciones automatizadas para extraer eventos adversos por medicamentos (ADE) desde notas clínicas no estructuradas, identificando técnicas, conjuntos de datos, métricas de evaluación y brechas pendientes en la literatura del periodo 2015-2023.»</w:t>
      </w:r>
    </w:p>
    <w:p>
      <w:pPr>
        <w:spacing w:after="120" w:before="200"/>
      </w:pPr>
      <w:r>
        <w:rPr>
          <w:b/>
          <w:bCs/>
          <w:color w:val="2E74B5"/>
          <w:sz w:val="22"/>
          <w:szCs w:val="22"/>
        </w:rPr>
        <w:t xml:space="preserve">1.2  Metodología</w:t>
      </w:r>
    </w:p>
    <w:p>
      <w:pPr>
        <w:spacing w:after="120" w:line="320"/>
        <w:jc w:val="both"/>
      </w:pPr>
      <w:r>
        <w:rPr>
          <w:i/>
          <w:iCs/>
          <w:color w:val="1F3864"/>
          <w:sz w:val="22"/>
          <w:szCs w:val="22"/>
        </w:rPr>
        <w:t xml:space="preserve">«Los autores aplicaron el protocolo PRISMA. Se realizó búsqueda en PubMed, Web of Science y Scopus produciendo 5 537 artículos iniciales; tras criterios de inclusión y exclusión 100 pasaron a revisión completa y 82 fueron seleccionados para análisis. Las publicaciones fueron categorizadas según tarea (NER, RE, joint task, multi-task), aproximación metodológica (rule-based, ML, deep learning, hybrid, LLM), datasets utilizados y métricas reportadas.»</w:t>
      </w:r>
    </w:p>
    <w:p>
      <w:pPr>
        <w:spacing w:after="120" w:line="320"/>
        <w:jc w:val="both"/>
      </w:pPr>
      <w:r>
        <w:rPr>
          <w:b w:val="false"/>
          <w:bCs w:val="false"/>
          <w:i w:val="false"/>
          <w:iCs w:val="false"/>
          <w:sz w:val="22"/>
          <w:szCs w:val="22"/>
        </w:rPr>
        <w:t xml:space="preserve">La métrica principal de evaluación reportada en los estudios revisados es el F1-score, definido como la media armónica entre precision y recall, según se ilustra a continuación.</w:t>
      </w:r>
    </w:p>
    <w:p>
      <w:pPr>
        <w:pBdr>
          <w:top w:val="single" w:color="1F3864" w:sz="6" w:space="4"/>
          <w:bottom w:val="single" w:color="1F3864" w:sz="6" w:space="4"/>
        </w:pBdr>
        <w:shd w:fill="F8F8FB" w:val="clear"/>
        <w:spacing w:after="200" w:before="200"/>
        <w:jc w:val="center"/>
      </w:pPr>
      <w:r>
        <w:rPr>
          <w:b/>
          <w:bCs/>
          <w:i/>
          <w:iCs/>
          <w:color w:val="1F3864"/>
          <w:sz w:val="28"/>
          <w:szCs w:val="28"/>
        </w:rPr>
        <w:t xml:space="preserve">F</w:t>
      </w:r>
      <w:r>
        <w:rPr>
          <w:b w:val="false"/>
          <w:bCs w:val="false"/>
          <w:i/>
          <w:iCs/>
          <w:color w:val="1F3864"/>
          <w:sz w:val="22"/>
          <w:szCs w:val="22"/>
        </w:rPr>
        <w:t xml:space="preserve">₁</w:t>
      </w:r>
      <w:r>
        <w:rPr>
          <w:b w:val="false"/>
          <w:bCs w:val="false"/>
          <w:i w:val="false"/>
          <w:iCs w:val="false"/>
          <w:color w:val="1F3864"/>
          <w:sz w:val="28"/>
          <w:szCs w:val="28"/>
        </w:rPr>
        <w:t xml:space="preserve"> = </w:t>
      </w:r>
      <w:r>
        <w:rPr>
          <w:b w:val="false"/>
          <w:bCs w:val="false"/>
          <w:i w:val="false"/>
          <w:iCs w:val="false"/>
          <w:color w:val="1F3864"/>
          <w:sz w:val="28"/>
          <w:szCs w:val="28"/>
        </w:rPr>
        <w:t xml:space="preserve">2 · </w:t>
      </w:r>
      <w:r>
        <w:rPr>
          <w:b w:val="false"/>
          <w:bCs w:val="false"/>
          <w:i w:val="false"/>
          <w:iCs w:val="false"/>
          <w:color w:val="1F3864"/>
          <w:sz w:val="28"/>
          <w:szCs w:val="28"/>
        </w:rPr>
        <w:t xml:space="preserve">(</w:t>
      </w:r>
      <w:r>
        <w:rPr>
          <w:b w:val="false"/>
          <w:bCs w:val="false"/>
          <w:i/>
          <w:iCs/>
          <w:color w:val="1F3864"/>
          <w:sz w:val="26"/>
          <w:szCs w:val="26"/>
        </w:rPr>
        <w:t xml:space="preserve">precision · recall</w:t>
      </w:r>
      <w:r>
        <w:rPr>
          <w:b w:val="false"/>
          <w:bCs w:val="false"/>
          <w:i w:val="false"/>
          <w:iCs w:val="false"/>
          <w:color w:val="1F3864"/>
          <w:sz w:val="28"/>
          <w:szCs w:val="28"/>
        </w:rPr>
        <w:t xml:space="preserve">)</w:t>
      </w:r>
      <w:r>
        <w:rPr>
          <w:b w:val="false"/>
          <w:bCs w:val="false"/>
          <w:i w:val="false"/>
          <w:iCs w:val="false"/>
          <w:color w:val="1F3864"/>
          <w:sz w:val="28"/>
          <w:szCs w:val="28"/>
        </w:rPr>
        <w:t xml:space="preserve"> ÷ </w:t>
      </w:r>
      <w:r>
        <w:rPr>
          <w:b w:val="false"/>
          <w:bCs w:val="false"/>
          <w:i w:val="false"/>
          <w:iCs w:val="false"/>
          <w:color w:val="1F3864"/>
          <w:sz w:val="28"/>
          <w:szCs w:val="28"/>
        </w:rPr>
        <w:t xml:space="preserve">(</w:t>
      </w:r>
      <w:r>
        <w:rPr>
          <w:b w:val="false"/>
          <w:bCs w:val="false"/>
          <w:i/>
          <w:iCs/>
          <w:color w:val="1F3864"/>
          <w:sz w:val="26"/>
          <w:szCs w:val="26"/>
        </w:rPr>
        <w:t xml:space="preserve">precision + recall</w:t>
      </w:r>
      <w:r>
        <w:rPr>
          <w:b w:val="false"/>
          <w:bCs w:val="false"/>
          <w:i w:val="false"/>
          <w:iCs w:val="false"/>
          <w:color w:val="1F3864"/>
          <w:sz w:val="28"/>
          <w:szCs w:val="28"/>
        </w:rPr>
        <w:t xml:space="preserve">)</w:t>
      </w:r>
    </w:p>
    <w:p>
      <w:pPr>
        <w:spacing w:after="240"/>
        <w:jc w:val="center"/>
      </w:pPr>
      <w:r>
        <w:rPr>
          <w:b/>
          <w:bCs/>
          <w:i/>
          <w:iCs/>
          <w:color w:val="808080"/>
          <w:sz w:val="18"/>
          <w:szCs w:val="18"/>
        </w:rPr>
        <w:t xml:space="preserve">Ecuación 1. </w:t>
      </w:r>
      <w:r>
        <w:rPr>
          <w:i/>
          <w:iCs/>
          <w:color w:val="808080"/>
          <w:sz w:val="18"/>
          <w:szCs w:val="18"/>
        </w:rPr>
        <w:t xml:space="preserve">F1-score (métrica armónica de evaluación de clasificadores).</w:t>
      </w:r>
    </w:p>
    <w:p>
      <w:pPr>
        <w:spacing w:after="120" w:before="200"/>
      </w:pPr>
      <w:r>
        <w:rPr>
          <w:b/>
          <w:bCs/>
          <w:color w:val="2E74B5"/>
          <w:sz w:val="22"/>
          <w:szCs w:val="22"/>
        </w:rPr>
        <w:t xml:space="preserve">1.3  Resultados Principales</w:t>
      </w:r>
    </w:p>
    <w:p>
      <w:pPr>
        <w:spacing w:after="120" w:line="320"/>
        <w:jc w:val="both"/>
      </w:pPr>
      <w:r>
        <w:rPr>
          <w:i/>
          <w:iCs/>
          <w:color w:val="1F3864"/>
          <w:sz w:val="22"/>
          <w:szCs w:val="22"/>
        </w:rPr>
        <w:t xml:space="preserve">«Deep learning domina con 32 estudios; los modelos transformer ClinicalBERT y BioBERT son las arquitecturas más aplicadas. Los datasets más utilizados son MADE 1.0, TAC 2017 y n2c2 2018. El desempeño F1 reportado oscila entre 0.78 y 0.92 según la tarea. Los LLMs son aún minoritarios (n=8) pero crecen rápidamente desde 2022.»</w:t>
      </w:r>
    </w:p>
    <w:p>
      <w:pPr>
        <w:spacing w:after="120" w:before="200"/>
      </w:pPr>
      <w:r>
        <w:rPr>
          <w:b/>
          <w:bCs/>
          <w:color w:val="2E74B5"/>
          <w:sz w:val="22"/>
          <w:szCs w:val="22"/>
        </w:rPr>
        <w:t xml:space="preserve">1.4  Conclusiones</w:t>
      </w:r>
    </w:p>
    <w:p>
      <w:pPr>
        <w:spacing w:after="120" w:line="320"/>
        <w:jc w:val="both"/>
      </w:pPr>
      <w:r>
        <w:rPr>
          <w:i/>
          <w:iCs/>
          <w:color w:val="1F3864"/>
          <w:sz w:val="22"/>
          <w:szCs w:val="22"/>
        </w:rPr>
        <w:t xml:space="preserve">«Existe consolidación de los transformers biomédicos como estado del arte, pero persisten brechas en generalización entre instituciones, integración con flujos clínicos reales y cobertura limitada en idiomas distintos al inglés. Se recomienda investigar la transferibilidad cross-institucional y la validación con paneles expertos.»</w:t>
      </w:r>
    </w:p>
    <w:p>
      <w:pPr>
        <w:spacing w:after="120" w:before="200"/>
      </w:pPr>
      <w:r>
        <w:rPr>
          <w:b/>
          <w:bCs/>
          <w:color w:val="2E74B5"/>
          <w:sz w:val="22"/>
          <w:szCs w:val="22"/>
        </w:rPr>
        <w:t xml:space="preserve">1.5  Crítica Personal</w:t>
      </w:r>
    </w:p>
    <w:p>
      <w:pPr>
        <w:spacing w:after="120" w:line="320"/>
        <w:jc w:val="both"/>
      </w:pPr>
      <w:r>
        <w:rPr>
          <w:b w:val="false"/>
          <w:bCs w:val="false"/>
          <w:i w:val="false"/>
          <w:iCs w:val="false"/>
          <w:sz w:val="22"/>
          <w:szCs w:val="22"/>
        </w:rPr>
        <w:t xml:space="preserve">Esta revisión sistemática constituye la cita pivote para el marco teórico de la presente tesis. El rigor metodológico PRISMA y la cobertura temporal 2015-2023 la convierten en referencia obligada. Sin embargo, la revisión cierra antes del boom de LLMs específicos del dominio biomédico (Med-PaLM 2, BioMedGPT, Llama médico) que aparecieron en 2024-2025; ese vacío permite que la tesis incorpore una comparación adicional con LLMs modernos como aporte original. Adicionalmente, la revisión no aborda la priorización de los eventos detectados ni la operacionalización de modelos de calidad institucional, lo que constituye precisamente el aporte diferenciador de la tesis al integrar el Modelo GEMSES.</w:t>
      </w:r>
    </w:p>
    <w:p>
      <w:pPr>
        <w:spacing w:after="120" w:before="200"/>
      </w:pPr>
      <w:r>
        <w:rPr>
          <w:b/>
          <w:bCs/>
          <w:color w:val="2E74B5"/>
          <w:sz w:val="22"/>
          <w:szCs w:val="22"/>
        </w:rPr>
        <w:t xml:space="preserve">1.6  Palabras Claves</w:t>
      </w:r>
    </w:p>
    <w:p>
      <w:pPr>
        <w:spacing w:after="120" w:line="320"/>
        <w:jc w:val="both"/>
      </w:pPr>
      <w:r>
        <w:rPr>
          <w:b w:val="false"/>
          <w:bCs w:val="false"/>
          <w:i w:val="false"/>
          <w:iCs w:val="false"/>
          <w:sz w:val="22"/>
          <w:szCs w:val="22"/>
        </w:rPr>
        <w:t xml:space="preserve">Adverse drug events, clinical notes, NLP, BERT, ClinicalBERT, BioBERT, systematic review, named entity recognition.</w:t>
      </w:r>
    </w:p>
    <w:p>
      <w:pPr>
        <w:pageBreakBefore/>
        <w:spacing w:after="60" w:before="360"/>
      </w:pPr>
      <w:r>
        <w:rPr>
          <w:b/>
          <w:bCs/>
          <w:color w:val="1F3864"/>
          <w:sz w:val="22"/>
          <w:szCs w:val="22"/>
        </w:rPr>
        <w:t xml:space="preserve">Artículo [2]</w:t>
      </w:r>
    </w:p>
    <w:p>
      <w:pPr>
        <w:spacing w:after="60"/>
      </w:pPr>
      <w:r>
        <w:rPr>
          <w:b/>
          <w:bCs/>
          <w:sz w:val="22"/>
          <w:szCs w:val="22"/>
        </w:rPr>
        <w:t xml:space="preserve">Title (EN):  </w:t>
      </w:r>
      <w:r>
        <w:rPr>
          <w:i/>
          <w:iCs/>
          <w:sz w:val="22"/>
          <w:szCs w:val="22"/>
        </w:rPr>
        <w:t xml:space="preserve">Improving Patient Safety Event Report Classification with Machine Learning and Contextual Text Representation</w:t>
      </w:r>
    </w:p>
    <w:p>
      <w:pPr>
        <w:spacing w:after="120"/>
      </w:pPr>
      <w:r>
        <w:rPr>
          <w:b/>
          <w:bCs/>
          <w:sz w:val="22"/>
          <w:szCs w:val="22"/>
        </w:rPr>
        <w:t xml:space="preserve">Título (ES):  </w:t>
      </w:r>
      <w:r>
        <w:rPr>
          <w:i/>
          <w:iCs/>
          <w:sz w:val="22"/>
          <w:szCs w:val="22"/>
        </w:rPr>
        <w:t xml:space="preserve">Mejora en la clasificación de reportes de eventos de seguridad del paciente con aprendizaje automático y representación contextual del texto</w:t>
      </w:r>
    </w:p>
    <w:p>
      <w:pPr>
        <w:spacing w:after="60" w:before="120"/>
      </w:pPr>
      <w:r>
        <w:rPr>
          <w:b/>
          <w:bCs/>
          <w:sz w:val="22"/>
          <w:szCs w:val="22"/>
        </w:rPr>
        <w:t xml:space="preserve">Autor(es):</w:t>
      </w:r>
    </w:p>
    <w:p>
      <w:pPr>
        <w:pStyle w:val="ListParagraph"/>
        <w:numPr>
          <w:ilvl w:val="0"/>
          <w:numId w:val="2"/>
        </w:numPr>
        <w:spacing w:after="60" w:line="300"/>
      </w:pPr>
      <w:r>
        <w:rPr>
          <w:sz w:val="22"/>
          <w:szCs w:val="22"/>
        </w:rPr>
        <w:t xml:space="preserve">Yiliang Wang</w:t>
      </w:r>
    </w:p>
    <w:p>
      <w:pPr>
        <w:pStyle w:val="ListParagraph"/>
        <w:numPr>
          <w:ilvl w:val="0"/>
          <w:numId w:val="2"/>
        </w:numPr>
        <w:spacing w:after="60" w:line="300"/>
      </w:pPr>
      <w:r>
        <w:rPr>
          <w:sz w:val="22"/>
          <w:szCs w:val="22"/>
        </w:rPr>
        <w:t xml:space="preserve">Enrico Coiera</w:t>
      </w:r>
    </w:p>
    <w:p>
      <w:pPr>
        <w:pStyle w:val="ListParagraph"/>
        <w:numPr>
          <w:ilvl w:val="0"/>
          <w:numId w:val="2"/>
        </w:numPr>
        <w:spacing w:after="60" w:line="300"/>
      </w:pPr>
      <w:r>
        <w:rPr>
          <w:sz w:val="22"/>
          <w:szCs w:val="22"/>
        </w:rPr>
        <w:t xml:space="preserve">Farah Magrabi</w:t>
      </w:r>
    </w:p>
    <w:p>
      <w:pPr>
        <w:spacing w:after="60" w:before="120"/>
      </w:pPr>
      <w:r>
        <w:rPr>
          <w:b/>
          <w:bCs/>
          <w:sz w:val="22"/>
          <w:szCs w:val="22"/>
        </w:rPr>
        <w:t xml:space="preserve">Fuente:</w:t>
      </w:r>
    </w:p>
    <w:p>
      <w:pPr>
        <w:spacing w:after="120" w:line="320"/>
        <w:jc w:val="both"/>
      </w:pPr>
      <w:r>
        <w:rPr>
          <w:b w:val="false"/>
          <w:bCs w:val="false"/>
          <w:i w:val="false"/>
          <w:iCs w:val="false"/>
          <w:sz w:val="22"/>
          <w:szCs w:val="22"/>
        </w:rPr>
        <w:t xml:space="preserve">Studies in Health Technology and Informatics — Proceedings MEDINFO 2023</w:t>
      </w:r>
    </w:p>
    <w:p>
      <w:pPr>
        <w:spacing w:after="120" w:line="320"/>
        <w:jc w:val="both"/>
      </w:pPr>
      <w:r>
        <w:rPr>
          <w:b w:val="false"/>
          <w:bCs w:val="false"/>
          <w:i w:val="false"/>
          <w:iCs w:val="false"/>
          <w:sz w:val="22"/>
          <w:szCs w:val="22"/>
        </w:rPr>
        <w:t xml:space="preserve">Año de publicación: 2024</w:t>
      </w:r>
    </w:p>
    <w:p>
      <w:pPr>
        <w:spacing w:after="60"/>
      </w:pPr>
      <w:r>
        <w:rPr>
          <w:b/>
          <w:bCs/>
          <w:sz w:val="20"/>
          <w:szCs w:val="20"/>
        </w:rPr>
        <w:t xml:space="preserve">DOI:  </w:t>
      </w:r>
      <w:r>
        <w:rPr>
          <w:rFonts w:ascii="Consolas" w:cs="Consolas" w:eastAsia="Consolas" w:hAnsi="Consolas"/>
          <w:sz w:val="20"/>
          <w:szCs w:val="20"/>
        </w:rPr>
        <w:t xml:space="preserve">10.3233/SHTI230884</w:t>
      </w:r>
    </w:p>
    <w:p>
      <w:pPr>
        <w:spacing w:after="60"/>
      </w:pPr>
      <w:r>
        <w:rPr>
          <w:b/>
          <w:bCs/>
          <w:sz w:val="20"/>
          <w:szCs w:val="20"/>
        </w:rPr>
        <w:t xml:space="preserve">Enlace al artículo:  </w:t>
      </w:r>
      <w:hyperlink w:history="1" r:id="rIdeqsblovc9jrdbobo7-okq">
        <w:r>
          <w:rPr>
            <w:rStyle w:val="Hyperlink"/>
            <w:color w:val="2E74B5"/>
            <w:sz w:val="18"/>
            <w:szCs w:val="18"/>
            <w:u w:val="single"/>
          </w:rPr>
          <w:t xml:space="preserve">https://pmc.ncbi.nlm.nih.gov/articles/PMC10782181/</w:t>
        </w:r>
      </w:hyperlink>
    </w:p>
    <w:p>
      <w:pPr>
        <w:spacing w:after="120" w:before="200"/>
      </w:pPr>
      <w:r>
        <w:rPr>
          <w:b/>
          <w:bCs/>
          <w:color w:val="2E74B5"/>
          <w:sz w:val="22"/>
          <w:szCs w:val="22"/>
        </w:rPr>
        <w:t xml:space="preserve">1.7  Objetivo del artículo</w:t>
      </w:r>
    </w:p>
    <w:p>
      <w:pPr>
        <w:spacing w:after="120" w:line="320"/>
        <w:jc w:val="both"/>
      </w:pPr>
      <w:r>
        <w:rPr>
          <w:i/>
          <w:iCs/>
          <w:color w:val="1F3864"/>
          <w:sz w:val="22"/>
          <w:szCs w:val="22"/>
        </w:rPr>
        <w:t xml:space="preserve">«Los autores investigan si las representaciones textuales contextuales basadas en transformers mejoran significativamente la precisión de la clasificación automatizada de reportes de eventos de seguridad del paciente, respecto a las técnicas estáticas tradicionales (bag-of-words y TF-IDF).»</w:t>
      </w:r>
    </w:p>
    <w:p>
      <w:pPr>
        <w:spacing w:after="120" w:before="200"/>
      </w:pPr>
      <w:r>
        <w:rPr>
          <w:b/>
          <w:bCs/>
          <w:color w:val="2E74B5"/>
          <w:sz w:val="22"/>
          <w:szCs w:val="22"/>
        </w:rPr>
        <w:t xml:space="preserve">1.8  Metodología</w:t>
      </w:r>
    </w:p>
    <w:p>
      <w:pPr>
        <w:spacing w:after="120" w:line="320"/>
        <w:jc w:val="both"/>
      </w:pPr>
      <w:r>
        <w:rPr>
          <w:i/>
          <w:iCs/>
          <w:color w:val="1F3864"/>
          <w:sz w:val="22"/>
          <w:szCs w:val="22"/>
        </w:rPr>
        <w:t xml:space="preserve">«Estudio empírico comparativo. Se construyó un corpus de reportes de eventos de seguridad del paciente provenientes de un sistema hospitalario australiano. Se compararon dos familias de modelos: (i) NLP estático (bag-of-words y TF-IDF con regresión logística y SVM) como línea base; y (ii) NLP contextual (modelos transformer tipo BERT preentrenados y fine-tuneados sobre el corpus). Las métricas evaluadas fueron precision, recall, F1 ponderado y matriz de confusión sobre split estratificado.»</w:t>
      </w:r>
    </w:p>
    <w:p>
      <w:pPr>
        <w:spacing w:after="120" w:line="320"/>
        <w:jc w:val="both"/>
      </w:pPr>
      <w:r>
        <w:rPr>
          <w:b w:val="false"/>
          <w:bCs w:val="false"/>
          <w:i w:val="false"/>
          <w:iCs w:val="false"/>
          <w:sz w:val="22"/>
          <w:szCs w:val="22"/>
        </w:rPr>
        <w:t xml:space="preserve">El F1 ponderado utilizado por los autores se calcula promediando los F1 de cada clase ponderados por la frecuencia de muestras de la clase, definido como sigue.</w:t>
      </w:r>
    </w:p>
    <w:p>
      <w:pPr>
        <w:pBdr>
          <w:top w:val="single" w:color="1F3864" w:sz="6" w:space="4"/>
          <w:bottom w:val="single" w:color="1F3864" w:sz="6" w:space="4"/>
        </w:pBdr>
        <w:shd w:fill="F8F8FB" w:val="clear"/>
        <w:spacing w:after="200" w:before="200"/>
        <w:jc w:val="center"/>
      </w:pPr>
      <w:r>
        <w:rPr>
          <w:b/>
          <w:bCs/>
          <w:i/>
          <w:iCs/>
          <w:color w:val="1F3864"/>
          <w:sz w:val="28"/>
          <w:szCs w:val="28"/>
        </w:rPr>
        <w:t xml:space="preserve">F</w:t>
      </w:r>
      <w:r>
        <w:rPr>
          <w:b w:val="false"/>
          <w:bCs w:val="false"/>
          <w:i/>
          <w:iCs/>
          <w:color w:val="1F3864"/>
          <w:sz w:val="22"/>
          <w:szCs w:val="22"/>
        </w:rPr>
        <w:t xml:space="preserve">₁,w</w:t>
      </w:r>
      <w:r>
        <w:rPr>
          <w:b w:val="false"/>
          <w:bCs w:val="false"/>
          <w:i w:val="false"/>
          <w:iCs w:val="false"/>
          <w:color w:val="1F3864"/>
          <w:sz w:val="28"/>
          <w:szCs w:val="28"/>
        </w:rPr>
        <w:t xml:space="preserve"> = </w:t>
      </w:r>
      <w:r>
        <w:rPr>
          <w:b w:val="false"/>
          <w:bCs w:val="false"/>
          <w:i w:val="false"/>
          <w:iCs w:val="false"/>
          <w:color w:val="1F3864"/>
          <w:sz w:val="30"/>
          <w:szCs w:val="30"/>
        </w:rPr>
        <w:t xml:space="preserve">Σ</w:t>
      </w:r>
      <w:r>
        <w:rPr>
          <w:b w:val="false"/>
          <w:bCs w:val="false"/>
          <w:i/>
          <w:iCs/>
          <w:color w:val="1F3864"/>
          <w:sz w:val="18"/>
          <w:szCs w:val="18"/>
        </w:rPr>
        <w:t xml:space="preserve">ᵢ₌₁..K</w:t>
      </w:r>
      <w:r>
        <w:rPr>
          <w:b w:val="false"/>
          <w:bCs w:val="false"/>
          <w:i w:val="false"/>
          <w:iCs w:val="false"/>
          <w:color w:val="1F3864"/>
          <w:sz w:val="28"/>
          <w:szCs w:val="28"/>
        </w:rPr>
        <w:t xml:space="preserve"> ( </w:t>
      </w:r>
      <w:r>
        <w:rPr>
          <w:b w:val="false"/>
          <w:bCs w:val="false"/>
          <w:i/>
          <w:iCs/>
          <w:color w:val="1F3864"/>
          <w:sz w:val="26"/>
          <w:szCs w:val="26"/>
        </w:rPr>
        <w:t xml:space="preserve">wᵢ · F₁,ᵢ</w:t>
      </w:r>
      <w:r>
        <w:rPr>
          <w:b w:val="false"/>
          <w:bCs w:val="false"/>
          <w:i w:val="false"/>
          <w:iCs w:val="false"/>
          <w:color w:val="1F3864"/>
          <w:sz w:val="28"/>
          <w:szCs w:val="28"/>
        </w:rPr>
        <w:t xml:space="preserve"> )</w:t>
      </w:r>
      <w:r>
        <w:rPr>
          <w:b w:val="false"/>
          <w:bCs w:val="false"/>
          <w:i w:val="false"/>
          <w:iCs w:val="false"/>
          <w:color w:val="1F3864"/>
          <w:sz w:val="22"/>
          <w:szCs w:val="22"/>
        </w:rPr>
        <w:t xml:space="preserve">  con </w:t>
      </w:r>
      <w:r>
        <w:rPr>
          <w:b w:val="false"/>
          <w:bCs w:val="false"/>
          <w:i/>
          <w:iCs/>
          <w:color w:val="1F3864"/>
          <w:sz w:val="24"/>
          <w:szCs w:val="24"/>
        </w:rPr>
        <w:t xml:space="preserve">wᵢ = nᵢ / N</w:t>
      </w:r>
    </w:p>
    <w:p>
      <w:pPr>
        <w:spacing w:after="240"/>
        <w:jc w:val="center"/>
      </w:pPr>
      <w:r>
        <w:rPr>
          <w:b/>
          <w:bCs/>
          <w:i/>
          <w:iCs/>
          <w:color w:val="808080"/>
          <w:sz w:val="18"/>
          <w:szCs w:val="18"/>
        </w:rPr>
        <w:t xml:space="preserve">Ecuación 2. </w:t>
      </w:r>
      <w:r>
        <w:rPr>
          <w:i/>
          <w:iCs/>
          <w:color w:val="808080"/>
          <w:sz w:val="18"/>
          <w:szCs w:val="18"/>
        </w:rPr>
        <w:t xml:space="preserve">F1 ponderado (weighted-F1) sobre K clases.</w:t>
      </w:r>
    </w:p>
    <w:p>
      <w:pPr>
        <w:spacing w:after="120" w:before="200"/>
      </w:pPr>
      <w:r>
        <w:rPr>
          <w:b/>
          <w:bCs/>
          <w:color w:val="2E74B5"/>
          <w:sz w:val="22"/>
          <w:szCs w:val="22"/>
        </w:rPr>
        <w:t xml:space="preserve">1.9  Resultados Principales</w:t>
      </w:r>
    </w:p>
    <w:p>
      <w:pPr>
        <w:spacing w:after="120" w:line="320"/>
        <w:jc w:val="both"/>
      </w:pPr>
      <w:r>
        <w:rPr>
          <w:i/>
          <w:iCs/>
          <w:color w:val="1F3864"/>
          <w:sz w:val="22"/>
          <w:szCs w:val="22"/>
        </w:rPr>
        <w:t xml:space="preserve">«Las representaciones contextuales obtuvieron mejoras consistentes en F1 ponderado, con incremento de aproximadamente 0.10-0.15 puntos respecto al baseline estático. La superioridad fue particularmente marcada en categorías con baja representación, donde los embeddings contextuales capturan mejor las sutilezas semánticas del lenguaje clínico libre. La diferencia fue estadísticamente significativa con p &lt; 0.01.»</w:t>
      </w:r>
    </w:p>
    <w:p>
      <w:pPr>
        <w:spacing w:after="120" w:before="200"/>
      </w:pPr>
      <w:r>
        <w:rPr>
          <w:b/>
          <w:bCs/>
          <w:color w:val="2E74B5"/>
          <w:sz w:val="22"/>
          <w:szCs w:val="22"/>
        </w:rPr>
        <w:t xml:space="preserve">1.10  Conclusiones</w:t>
      </w:r>
    </w:p>
    <w:p>
      <w:pPr>
        <w:spacing w:after="120" w:line="320"/>
        <w:jc w:val="both"/>
      </w:pPr>
      <w:r>
        <w:rPr>
          <w:i/>
          <w:iCs/>
          <w:color w:val="1F3864"/>
          <w:sz w:val="22"/>
          <w:szCs w:val="22"/>
        </w:rPr>
        <w:t xml:space="preserve">«El uso de NLP contextual mejora la utilidad de los sistemas de reporte de eventos de seguridad del paciente al reducir la carga manual de codificación y permitir mayor consistencia en la clasificación. Se recomienda actualizar los pipelines institucionales migrando de técnicas estáticas a transformers preentrenados.»</w:t>
      </w:r>
    </w:p>
    <w:p>
      <w:pPr>
        <w:spacing w:after="120" w:before="200"/>
      </w:pPr>
      <w:r>
        <w:rPr>
          <w:b/>
          <w:bCs/>
          <w:color w:val="2E74B5"/>
          <w:sz w:val="22"/>
          <w:szCs w:val="22"/>
        </w:rPr>
        <w:t xml:space="preserve">1.11  Crítica Personal</w:t>
      </w:r>
    </w:p>
    <w:p>
      <w:pPr>
        <w:spacing w:after="120" w:line="320"/>
        <w:jc w:val="both"/>
      </w:pPr>
      <w:r>
        <w:rPr>
          <w:b w:val="false"/>
          <w:bCs w:val="false"/>
          <w:i w:val="false"/>
          <w:iCs w:val="false"/>
          <w:sz w:val="22"/>
          <w:szCs w:val="22"/>
        </w:rPr>
        <w:t xml:space="preserve">Este estudio empírico provee la evidencia directa para sustentar la Hipótesis Específica 2 de la presente tesis (los transformers biomédicos superan a las técnicas bag-of-words). El diseño experimental es replicable y ofrece un baseline metodológico sólido para el flujo de procesamiento (pipeline) propuesto. Su principal limitación es que el dataset proviene de un solo centro, lo que impide evaluar transferibilidad cross-institucional. La tesis aborda esta limitación al usar MIMIC-IV (multicéntrico) y al proponer el Objetivo Específico 5 (transferencia al sistema sanitario peruano). Otra limitación: el estudio se queda en clasificación pero no avanza hacia priorización ordinal del riesgo, espacio que la tesis ocupa al integrar la Matriz de Priorización GEMSES.</w:t>
      </w:r>
    </w:p>
    <w:p>
      <w:pPr>
        <w:spacing w:after="120" w:before="200"/>
      </w:pPr>
      <w:r>
        <w:rPr>
          <w:b/>
          <w:bCs/>
          <w:color w:val="2E74B5"/>
          <w:sz w:val="22"/>
          <w:szCs w:val="22"/>
        </w:rPr>
        <w:t xml:space="preserve">1.12  Palabras Claves</w:t>
      </w:r>
    </w:p>
    <w:p>
      <w:pPr>
        <w:spacing w:after="120" w:line="320"/>
        <w:jc w:val="both"/>
      </w:pPr>
      <w:r>
        <w:rPr>
          <w:b w:val="false"/>
          <w:bCs w:val="false"/>
          <w:i w:val="false"/>
          <w:iCs w:val="false"/>
          <w:sz w:val="22"/>
          <w:szCs w:val="22"/>
        </w:rPr>
        <w:t xml:space="preserve">Patient safety events, classification, contextual NLP, BERT, transformers, machine learning, healthcare informatics.</w:t>
      </w:r>
    </w:p>
    <w:p>
      <w:pPr>
        <w:pageBreakBefore/>
        <w:spacing w:after="60" w:before="360"/>
      </w:pPr>
      <w:r>
        <w:rPr>
          <w:b/>
          <w:bCs/>
          <w:color w:val="1F3864"/>
          <w:sz w:val="22"/>
          <w:szCs w:val="22"/>
        </w:rPr>
        <w:t xml:space="preserve">Artículo [3]</w:t>
      </w:r>
    </w:p>
    <w:p>
      <w:pPr>
        <w:spacing w:after="60"/>
      </w:pPr>
      <w:r>
        <w:rPr>
          <w:b/>
          <w:bCs/>
          <w:sz w:val="22"/>
          <w:szCs w:val="22"/>
        </w:rPr>
        <w:t xml:space="preserve">Title (EN):  </w:t>
      </w:r>
      <w:r>
        <w:rPr>
          <w:i/>
          <w:iCs/>
          <w:sz w:val="22"/>
          <w:szCs w:val="22"/>
        </w:rPr>
        <w:t xml:space="preserve">Leveraging Natural Language Processing and Machine Learning Methods for Adverse Drug Event Detection in Electronic Health/Medical Records: A Scoping Review</w:t>
      </w:r>
    </w:p>
    <w:p>
      <w:pPr>
        <w:spacing w:after="120"/>
      </w:pPr>
      <w:r>
        <w:rPr>
          <w:b/>
          <w:bCs/>
          <w:sz w:val="22"/>
          <w:szCs w:val="22"/>
        </w:rPr>
        <w:t xml:space="preserve">Título (ES):  </w:t>
      </w:r>
      <w:r>
        <w:rPr>
          <w:i/>
          <w:iCs/>
          <w:sz w:val="22"/>
          <w:szCs w:val="22"/>
        </w:rPr>
        <w:t xml:space="preserve">Aprovechamiento de métodos de procesamiento de lenguaje natural y aprendizaje automático para la detección de eventos adversos por medicamentos en registros electrónicos de salud: revisión panorámica</w:t>
      </w:r>
    </w:p>
    <w:p>
      <w:pPr>
        <w:spacing w:after="60" w:before="120"/>
      </w:pPr>
      <w:r>
        <w:rPr>
          <w:b/>
          <w:bCs/>
          <w:sz w:val="22"/>
          <w:szCs w:val="22"/>
        </w:rPr>
        <w:t xml:space="preserve">Autor(es):</w:t>
      </w:r>
    </w:p>
    <w:p>
      <w:pPr>
        <w:pStyle w:val="ListParagraph"/>
        <w:numPr>
          <w:ilvl w:val="0"/>
          <w:numId w:val="2"/>
        </w:numPr>
        <w:spacing w:after="60" w:line="300"/>
      </w:pPr>
      <w:r>
        <w:rPr>
          <w:sz w:val="22"/>
          <w:szCs w:val="22"/>
        </w:rPr>
        <w:t xml:space="preserve">Darshini Mahendran</w:t>
      </w:r>
    </w:p>
    <w:p>
      <w:pPr>
        <w:pStyle w:val="ListParagraph"/>
        <w:numPr>
          <w:ilvl w:val="0"/>
          <w:numId w:val="2"/>
        </w:numPr>
        <w:spacing w:after="60" w:line="300"/>
      </w:pPr>
      <w:r>
        <w:rPr>
          <w:sz w:val="22"/>
          <w:szCs w:val="22"/>
        </w:rPr>
        <w:t xml:space="preserve">Bridget T. McInnes</w:t>
      </w:r>
    </w:p>
    <w:p>
      <w:pPr>
        <w:pStyle w:val="ListParagraph"/>
        <w:numPr>
          <w:ilvl w:val="0"/>
          <w:numId w:val="2"/>
        </w:numPr>
        <w:spacing w:after="60" w:line="300"/>
      </w:pPr>
      <w:r>
        <w:rPr>
          <w:sz w:val="22"/>
          <w:szCs w:val="22"/>
        </w:rPr>
        <w:t xml:space="preserve">et al.</w:t>
      </w:r>
    </w:p>
    <w:p>
      <w:pPr>
        <w:spacing w:after="60" w:before="120"/>
      </w:pPr>
      <w:r>
        <w:rPr>
          <w:b/>
          <w:bCs/>
          <w:sz w:val="22"/>
          <w:szCs w:val="22"/>
        </w:rPr>
        <w:t xml:space="preserve">Fuente:</w:t>
      </w:r>
    </w:p>
    <w:p>
      <w:pPr>
        <w:spacing w:after="120" w:line="320"/>
        <w:jc w:val="both"/>
      </w:pPr>
      <w:r>
        <w:rPr>
          <w:b w:val="false"/>
          <w:bCs w:val="false"/>
          <w:i w:val="false"/>
          <w:iCs w:val="false"/>
          <w:sz w:val="22"/>
          <w:szCs w:val="22"/>
        </w:rPr>
        <w:t xml:space="preserve">Drug Safety, vol. 48, n.º 3. Springer Nature</w:t>
      </w:r>
    </w:p>
    <w:p>
      <w:pPr>
        <w:spacing w:after="120" w:line="320"/>
        <w:jc w:val="both"/>
      </w:pPr>
      <w:r>
        <w:rPr>
          <w:b w:val="false"/>
          <w:bCs w:val="false"/>
          <w:i w:val="false"/>
          <w:iCs w:val="false"/>
          <w:sz w:val="22"/>
          <w:szCs w:val="22"/>
        </w:rPr>
        <w:t xml:space="preserve">Año de publicación: 2025</w:t>
      </w:r>
    </w:p>
    <w:p>
      <w:pPr>
        <w:spacing w:after="60"/>
      </w:pPr>
      <w:r>
        <w:rPr>
          <w:b/>
          <w:bCs/>
          <w:sz w:val="20"/>
          <w:szCs w:val="20"/>
        </w:rPr>
        <w:t xml:space="preserve">DOI:  </w:t>
      </w:r>
      <w:r>
        <w:rPr>
          <w:rFonts w:ascii="Consolas" w:cs="Consolas" w:eastAsia="Consolas" w:hAnsi="Consolas"/>
          <w:sz w:val="20"/>
          <w:szCs w:val="20"/>
        </w:rPr>
        <w:t xml:space="preserve">10.1007/s40264-024-01505-6</w:t>
      </w:r>
    </w:p>
    <w:p>
      <w:pPr>
        <w:spacing w:after="60"/>
      </w:pPr>
      <w:r>
        <w:rPr>
          <w:b/>
          <w:bCs/>
          <w:sz w:val="20"/>
          <w:szCs w:val="20"/>
        </w:rPr>
        <w:t xml:space="preserve">Enlace al artículo:  </w:t>
      </w:r>
      <w:hyperlink w:history="1" r:id="rIdaf5zckuzx83fz360grf2d">
        <w:r>
          <w:rPr>
            <w:rStyle w:val="Hyperlink"/>
            <w:color w:val="2E74B5"/>
            <w:sz w:val="18"/>
            <w:szCs w:val="18"/>
            <w:u w:val="single"/>
          </w:rPr>
          <w:t xml:space="preserve">https://link.springer.com/article/10.1007/s40264-024-01505-6</w:t>
        </w:r>
      </w:hyperlink>
    </w:p>
    <w:p>
      <w:pPr>
        <w:spacing w:after="120" w:before="200"/>
      </w:pPr>
      <w:r>
        <w:rPr>
          <w:b/>
          <w:bCs/>
          <w:color w:val="2E74B5"/>
          <w:sz w:val="22"/>
          <w:szCs w:val="22"/>
        </w:rPr>
        <w:t xml:space="preserve">1.13  Objetivo del artículo</w:t>
      </w:r>
    </w:p>
    <w:p>
      <w:pPr>
        <w:spacing w:after="120" w:line="320"/>
        <w:jc w:val="both"/>
      </w:pPr>
      <w:r>
        <w:rPr>
          <w:i/>
          <w:iCs/>
          <w:color w:val="1F3864"/>
          <w:sz w:val="22"/>
          <w:szCs w:val="22"/>
        </w:rPr>
        <w:t xml:space="preserve">«El propósito de los autores es mapear el estado actual de la aplicación de NLP y ML para la detección automatizada de eventos adversos por medicamentos en EHR reales, identificando tendencias metodológicas, limitaciones de implementación y la brecha entre los estudios académicos y los despliegues clínicos efectivos.»</w:t>
      </w:r>
    </w:p>
    <w:p>
      <w:pPr>
        <w:spacing w:after="120" w:before="200"/>
      </w:pPr>
      <w:r>
        <w:rPr>
          <w:b/>
          <w:bCs/>
          <w:color w:val="2E74B5"/>
          <w:sz w:val="22"/>
          <w:szCs w:val="22"/>
        </w:rPr>
        <w:t xml:space="preserve">1.14  Metodología</w:t>
      </w:r>
    </w:p>
    <w:p>
      <w:pPr>
        <w:spacing w:after="120" w:line="320"/>
        <w:jc w:val="both"/>
      </w:pPr>
      <w:r>
        <w:rPr>
          <w:i/>
          <w:iCs/>
          <w:color w:val="1F3864"/>
          <w:sz w:val="22"/>
          <w:szCs w:val="22"/>
        </w:rPr>
        <w:t xml:space="preserve">«Scoping review siguiendo el protocolo PRISMA-ScR. Se realizó búsqueda en PubMed, Embase y Web of Science cubriendo el periodo 2015-2024. Los estudios fueron clasificados por familia algorítmica (rule-based, ML clásico, deep learning, transformers), tipo de entrada (estructurada vs no estructurada), madurez del despliegue y métricas de evaluación. Se construyeron tablas comparativas de técnicas, datasets y resultados.»</w:t>
      </w:r>
    </w:p>
    <w:p>
      <w:pPr>
        <w:spacing w:after="120" w:before="200"/>
      </w:pPr>
      <w:r>
        <w:rPr>
          <w:b/>
          <w:bCs/>
          <w:color w:val="2E74B5"/>
          <w:sz w:val="22"/>
          <w:szCs w:val="22"/>
        </w:rPr>
        <w:t xml:space="preserve">1.15  Resultados Principales</w:t>
      </w:r>
    </w:p>
    <w:p>
      <w:pPr>
        <w:spacing w:after="120" w:line="320"/>
        <w:jc w:val="both"/>
      </w:pPr>
      <w:r>
        <w:rPr>
          <w:i/>
          <w:iCs/>
          <w:color w:val="1F3864"/>
          <w:sz w:val="22"/>
          <w:szCs w:val="22"/>
        </w:rPr>
        <w:t xml:space="preserve">«BiLSTM-CRF y los modelos transformer biomédicos emergen como las arquitecturas dominantes. La mayoría de los estudios trabaja con datasets simulados, pequeños o de un solo centro. Solo una minoría reporta validación prospectiva en flujos clínicos reales. La brecha entre el laboratorio académico y la implementación clínica es identificada como el principal obstáculo del campo.»</w:t>
      </w:r>
    </w:p>
    <w:p>
      <w:pPr>
        <w:spacing w:after="120" w:before="200"/>
      </w:pPr>
      <w:r>
        <w:rPr>
          <w:b/>
          <w:bCs/>
          <w:color w:val="2E74B5"/>
          <w:sz w:val="22"/>
          <w:szCs w:val="22"/>
        </w:rPr>
        <w:t xml:space="preserve">1.16  Conclusiones</w:t>
      </w:r>
    </w:p>
    <w:p>
      <w:pPr>
        <w:spacing w:after="120" w:line="320"/>
        <w:jc w:val="both"/>
      </w:pPr>
      <w:r>
        <w:rPr>
          <w:i/>
          <w:iCs/>
          <w:color w:val="1F3864"/>
          <w:sz w:val="22"/>
          <w:szCs w:val="22"/>
        </w:rPr>
        <w:t xml:space="preserve">«La madurez metodológica supera ampliamente la madurez de despliegue. Se recomiendan investigaciones que trabajen con datos multicéntricos, reporten métricas en condiciones reales e integren la detección automatizada con sistemas institucionales de gestión de calidad y seguridad del paciente.»</w:t>
      </w:r>
    </w:p>
    <w:p>
      <w:pPr>
        <w:spacing w:after="120" w:before="200"/>
      </w:pPr>
      <w:r>
        <w:rPr>
          <w:b/>
          <w:bCs/>
          <w:color w:val="2E74B5"/>
          <w:sz w:val="22"/>
          <w:szCs w:val="22"/>
        </w:rPr>
        <w:t xml:space="preserve">1.17  Crítica Personal</w:t>
      </w:r>
    </w:p>
    <w:p>
      <w:pPr>
        <w:spacing w:after="120" w:line="320"/>
        <w:jc w:val="both"/>
      </w:pPr>
      <w:r>
        <w:rPr>
          <w:b w:val="false"/>
          <w:bCs w:val="false"/>
          <w:i w:val="false"/>
          <w:iCs w:val="false"/>
          <w:sz w:val="22"/>
          <w:szCs w:val="22"/>
        </w:rPr>
        <w:t xml:space="preserve">Esta revisión panorámica es la cita más reciente y autorizada para justificar la decisión metodológica de la tesis: usar MIMIC-IV (dataset multicéntrico, abierto, reproducible) en lugar de un dataset institucional cerrado. Ratifica también la pertinencia del Objetivo Específico 5 (transferencia metodológica). La principal limitación de la scoping review es que no incluye experimentos propios y se limita a sintetizar literatura. La tesis llena el vacío explícitamente identificado por los autores: la integración de la detección automatizada con un sistema institucional de gestión de calidad — en este caso, GEMSES vía la Directiva GG-ESSALUD-2021.</w:t>
      </w:r>
    </w:p>
    <w:p>
      <w:pPr>
        <w:spacing w:after="120" w:before="200"/>
      </w:pPr>
      <w:r>
        <w:rPr>
          <w:b/>
          <w:bCs/>
          <w:color w:val="2E74B5"/>
          <w:sz w:val="22"/>
          <w:szCs w:val="22"/>
        </w:rPr>
        <w:t xml:space="preserve">1.18  Palabras Claves</w:t>
      </w:r>
    </w:p>
    <w:p>
      <w:pPr>
        <w:spacing w:after="120" w:line="320"/>
        <w:jc w:val="both"/>
      </w:pPr>
      <w:r>
        <w:rPr>
          <w:b w:val="false"/>
          <w:bCs w:val="false"/>
          <w:i w:val="false"/>
          <w:iCs w:val="false"/>
          <w:sz w:val="22"/>
          <w:szCs w:val="22"/>
        </w:rPr>
        <w:t xml:space="preserve">Adverse drug events, electronic health records, NLP, machine learning, scoping review, BiLSTM-CRF, BioBERT.</w:t>
      </w:r>
    </w:p>
    <w:p>
      <w:pPr>
        <w:pageBreakBefore/>
        <w:spacing w:after="60" w:before="360"/>
      </w:pPr>
      <w:r>
        <w:rPr>
          <w:b/>
          <w:bCs/>
          <w:color w:val="1F3864"/>
          <w:sz w:val="22"/>
          <w:szCs w:val="22"/>
        </w:rPr>
        <w:t xml:space="preserve">Artículo [4]</w:t>
      </w:r>
    </w:p>
    <w:p>
      <w:pPr>
        <w:spacing w:after="60"/>
      </w:pPr>
      <w:r>
        <w:rPr>
          <w:b/>
          <w:bCs/>
          <w:sz w:val="22"/>
          <w:szCs w:val="22"/>
        </w:rPr>
        <w:t xml:space="preserve">Title (EN):  </w:t>
      </w:r>
      <w:r>
        <w:rPr>
          <w:i/>
          <w:iCs/>
          <w:sz w:val="22"/>
          <w:szCs w:val="22"/>
        </w:rPr>
        <w:t xml:space="preserve">MedLexSp – a medical lexicon for Spanish medical natural language processing</w:t>
      </w:r>
    </w:p>
    <w:p>
      <w:pPr>
        <w:spacing w:after="120"/>
      </w:pPr>
      <w:r>
        <w:rPr>
          <w:b/>
          <w:bCs/>
          <w:sz w:val="22"/>
          <w:szCs w:val="22"/>
        </w:rPr>
        <w:t xml:space="preserve">Título (ES):  </w:t>
      </w:r>
      <w:r>
        <w:rPr>
          <w:i/>
          <w:iCs/>
          <w:sz w:val="22"/>
          <w:szCs w:val="22"/>
        </w:rPr>
        <w:t xml:space="preserve">MedLexSp — un léxico médico para el procesamiento de lenguaje natural médico en español</w:t>
      </w:r>
    </w:p>
    <w:p>
      <w:pPr>
        <w:spacing w:after="60" w:before="120"/>
      </w:pPr>
      <w:r>
        <w:rPr>
          <w:b/>
          <w:bCs/>
          <w:sz w:val="22"/>
          <w:szCs w:val="22"/>
        </w:rPr>
        <w:t xml:space="preserve">Autor(es):</w:t>
      </w:r>
    </w:p>
    <w:p>
      <w:pPr>
        <w:pStyle w:val="ListParagraph"/>
        <w:numPr>
          <w:ilvl w:val="0"/>
          <w:numId w:val="2"/>
        </w:numPr>
        <w:spacing w:after="60" w:line="300"/>
      </w:pPr>
      <w:r>
        <w:rPr>
          <w:sz w:val="22"/>
          <w:szCs w:val="22"/>
        </w:rPr>
        <w:t xml:space="preserve">Leonardo Campillos-Llanos</w:t>
      </w:r>
    </w:p>
    <w:p>
      <w:pPr>
        <w:spacing w:after="60" w:before="120"/>
      </w:pPr>
      <w:r>
        <w:rPr>
          <w:b/>
          <w:bCs/>
          <w:sz w:val="22"/>
          <w:szCs w:val="22"/>
        </w:rPr>
        <w:t xml:space="preserve">Fuente:</w:t>
      </w:r>
    </w:p>
    <w:p>
      <w:pPr>
        <w:spacing w:after="120" w:line="320"/>
        <w:jc w:val="both"/>
      </w:pPr>
      <w:r>
        <w:rPr>
          <w:b w:val="false"/>
          <w:bCs w:val="false"/>
          <w:i w:val="false"/>
          <w:iCs w:val="false"/>
          <w:sz w:val="22"/>
          <w:szCs w:val="22"/>
        </w:rPr>
        <w:t xml:space="preserve">Journal of Biomedical Semantics, vol. 14, n.º 2. Springer / BioMed Central</w:t>
      </w:r>
    </w:p>
    <w:p>
      <w:pPr>
        <w:spacing w:after="120" w:line="320"/>
        <w:jc w:val="both"/>
      </w:pPr>
      <w:r>
        <w:rPr>
          <w:b w:val="false"/>
          <w:bCs w:val="false"/>
          <w:i w:val="false"/>
          <w:iCs w:val="false"/>
          <w:sz w:val="22"/>
          <w:szCs w:val="22"/>
        </w:rPr>
        <w:t xml:space="preserve">Año de publicación: 2023</w:t>
      </w:r>
    </w:p>
    <w:p>
      <w:pPr>
        <w:spacing w:after="60"/>
      </w:pPr>
      <w:r>
        <w:rPr>
          <w:b/>
          <w:bCs/>
          <w:sz w:val="20"/>
          <w:szCs w:val="20"/>
        </w:rPr>
        <w:t xml:space="preserve">DOI:  </w:t>
      </w:r>
      <w:r>
        <w:rPr>
          <w:rFonts w:ascii="Consolas" w:cs="Consolas" w:eastAsia="Consolas" w:hAnsi="Consolas"/>
          <w:sz w:val="20"/>
          <w:szCs w:val="20"/>
        </w:rPr>
        <w:t xml:space="preserve">10.1186/s13326-022-00281-5</w:t>
      </w:r>
    </w:p>
    <w:p>
      <w:pPr>
        <w:spacing w:after="60"/>
      </w:pPr>
      <w:r>
        <w:rPr>
          <w:b/>
          <w:bCs/>
          <w:sz w:val="20"/>
          <w:szCs w:val="20"/>
        </w:rPr>
        <w:t xml:space="preserve">Enlace al artículo:  </w:t>
      </w:r>
      <w:hyperlink w:history="1" r:id="rIdnwpyrt7hjso3e3n_-ho_h">
        <w:r>
          <w:rPr>
            <w:rStyle w:val="Hyperlink"/>
            <w:color w:val="2E74B5"/>
            <w:sz w:val="18"/>
            <w:szCs w:val="18"/>
            <w:u w:val="single"/>
          </w:rPr>
          <w:t xml:space="preserve">https://link.springer.com/article/10.1186/s13326-022-00281-5</w:t>
        </w:r>
      </w:hyperlink>
    </w:p>
    <w:p>
      <w:pPr>
        <w:spacing w:after="120" w:before="200"/>
      </w:pPr>
      <w:r>
        <w:rPr>
          <w:b/>
          <w:bCs/>
          <w:color w:val="2E74B5"/>
          <w:sz w:val="22"/>
          <w:szCs w:val="22"/>
        </w:rPr>
        <w:t xml:space="preserve">1.19  Objetivo del artículo</w:t>
      </w:r>
    </w:p>
    <w:p>
      <w:pPr>
        <w:spacing w:after="120" w:line="320"/>
        <w:jc w:val="both"/>
      </w:pPr>
      <w:r>
        <w:rPr>
          <w:i/>
          <w:iCs/>
          <w:color w:val="1F3864"/>
          <w:sz w:val="22"/>
          <w:szCs w:val="22"/>
        </w:rPr>
        <w:t xml:space="preserve">«El autor desarrolla y valida MedLexSp, un léxico médico unificado para el procesamiento de lenguaje natural médico en español que integra términos, formas flexionadas, información part-of-speech y tipos semánticos UMLS, con el fin de soportar tareas de NLP clínico en español como reconocimiento de entidades, codificación ICD-10 y extracción de información farmacológica.»</w:t>
      </w:r>
    </w:p>
    <w:p>
      <w:pPr>
        <w:spacing w:after="120" w:before="200"/>
      </w:pPr>
      <w:r>
        <w:rPr>
          <w:b/>
          <w:bCs/>
          <w:color w:val="2E74B5"/>
          <w:sz w:val="22"/>
          <w:szCs w:val="22"/>
        </w:rPr>
        <w:t xml:space="preserve">1.20  Metodología</w:t>
      </w:r>
    </w:p>
    <w:p>
      <w:pPr>
        <w:spacing w:after="120" w:line="320"/>
        <w:jc w:val="both"/>
      </w:pPr>
      <w:r>
        <w:rPr>
          <w:i/>
          <w:iCs/>
          <w:color w:val="1F3864"/>
          <w:sz w:val="22"/>
          <w:szCs w:val="22"/>
        </w:rPr>
        <w:t xml:space="preserve">«Construcción del léxico mediante integración de fuentes terminológicas en español: SNOMED-CT-Spanish, UMLS Metathesaurus, MedDRA-ES, MeSH-ES y vocabularios farmacológicos. Procesamiento morfosintáctico para generar formas flexionadas. Mapeo a tipos semánticos UMLS. Validación mediante aplicación a tareas de NLP médico en español, incluyendo el corpus CodiEsp (1 000 casos clínicos en español codificados con ICD-10).»</w:t>
      </w:r>
    </w:p>
    <w:p>
      <w:pPr>
        <w:spacing w:after="120" w:before="200"/>
      </w:pPr>
      <w:r>
        <w:rPr>
          <w:b/>
          <w:bCs/>
          <w:color w:val="2E74B5"/>
          <w:sz w:val="22"/>
          <w:szCs w:val="22"/>
        </w:rPr>
        <w:t xml:space="preserve">1.21  Resultados Principales</w:t>
      </w:r>
    </w:p>
    <w:p>
      <w:pPr>
        <w:spacing w:after="120" w:line="320"/>
        <w:jc w:val="both"/>
      </w:pPr>
      <w:r>
        <w:rPr>
          <w:i/>
          <w:iCs/>
          <w:color w:val="1F3864"/>
          <w:sz w:val="22"/>
          <w:szCs w:val="22"/>
        </w:rPr>
        <w:t xml:space="preserve">«MedLexSp contiene cientos de miles de términos médicos en español con sus formas flexionadas, tipos semánticos UMLS y mapeos a vocabularios estándar. La aplicación a CodiEsp y otras tareas demostró su utilidad para reconocimiento de entidades médicas, normalización a códigos ICD-10 y extracción de información farmacológica en textos clínicos en español.»</w:t>
      </w:r>
    </w:p>
    <w:p>
      <w:pPr>
        <w:spacing w:after="120" w:before="200"/>
      </w:pPr>
      <w:r>
        <w:rPr>
          <w:b/>
          <w:bCs/>
          <w:color w:val="2E74B5"/>
          <w:sz w:val="22"/>
          <w:szCs w:val="22"/>
        </w:rPr>
        <w:t xml:space="preserve">1.22  Conclusiones</w:t>
      </w:r>
    </w:p>
    <w:p>
      <w:pPr>
        <w:spacing w:after="120" w:line="320"/>
        <w:jc w:val="both"/>
      </w:pPr>
      <w:r>
        <w:rPr>
          <w:i/>
          <w:iCs/>
          <w:color w:val="1F3864"/>
          <w:sz w:val="22"/>
          <w:szCs w:val="22"/>
        </w:rPr>
        <w:t xml:space="preserve">«MedLexSp es el primer léxico médico unificado para español que combina términos, flexión, etiquetas part-of-speech y semántica UMLS, llenando un vacío crítico en los recursos disponibles para NLP clínico en español. Se recomienda su uso como recurso base para sistemas de pharmacovigilance, codificación clínica y extracción de información en lengua española.»</w:t>
      </w:r>
    </w:p>
    <w:p>
      <w:pPr>
        <w:spacing w:after="120" w:before="200"/>
      </w:pPr>
      <w:r>
        <w:rPr>
          <w:b/>
          <w:bCs/>
          <w:color w:val="2E74B5"/>
          <w:sz w:val="22"/>
          <w:szCs w:val="22"/>
        </w:rPr>
        <w:t xml:space="preserve">1.23  Crítica Personal</w:t>
      </w:r>
    </w:p>
    <w:p>
      <w:pPr>
        <w:spacing w:after="120" w:line="320"/>
        <w:jc w:val="both"/>
      </w:pPr>
      <w:r>
        <w:rPr>
          <w:b w:val="false"/>
          <w:bCs w:val="false"/>
          <w:i w:val="false"/>
          <w:iCs w:val="false"/>
          <w:sz w:val="22"/>
          <w:szCs w:val="22"/>
        </w:rPr>
        <w:t xml:space="preserve">MedLexSp constituye el ancla técnica para defender la viabilidad del Objetivo Específico 5 de la tesis (transferencia metodológica al castellano). Demuestra que existen recursos lingüísticos maduros para construir un flujo de procesamiento (pipeline) NLP en español sobre notas clínicas, lo que reduce el riesgo de transferibilidad. La principal limitación es que MedLexSp es un recurso estático tipo lexicon y no un modelo de embeddings o transformer, por lo que en la tesis se usaría como soporte de preprocesamiento (normalización, NER de medicamentos) y no como sustituto de los transformers biomédicos. El vacío que la tesis llena: ningún estudio ha combinado MedLexSp + ClinicalBERT-multilingual + Matriz GEMSES sobre notas clínicas en español.</w:t>
      </w:r>
    </w:p>
    <w:p>
      <w:pPr>
        <w:spacing w:after="120" w:before="200"/>
      </w:pPr>
      <w:r>
        <w:rPr>
          <w:b/>
          <w:bCs/>
          <w:color w:val="2E74B5"/>
          <w:sz w:val="22"/>
          <w:szCs w:val="22"/>
        </w:rPr>
        <w:t xml:space="preserve">1.24  Palabras Claves</w:t>
      </w:r>
    </w:p>
    <w:p>
      <w:pPr>
        <w:spacing w:after="120" w:line="320"/>
        <w:jc w:val="both"/>
      </w:pPr>
      <w:r>
        <w:rPr>
          <w:b w:val="false"/>
          <w:bCs w:val="false"/>
          <w:i w:val="false"/>
          <w:iCs w:val="false"/>
          <w:sz w:val="22"/>
          <w:szCs w:val="22"/>
        </w:rPr>
        <w:t xml:space="preserve">Spanish NLP, medical lexicon, UMLS, MedDRA-ES, SNOMED-CT, CodiEsp, ICD-10, biomedical informatics.</w:t>
      </w:r>
    </w:p>
    <w:p>
      <w:pPr>
        <w:pageBreakBefore/>
        <w:spacing w:after="60" w:before="360"/>
      </w:pPr>
      <w:r>
        <w:rPr>
          <w:b/>
          <w:bCs/>
          <w:color w:val="1F3864"/>
          <w:sz w:val="22"/>
          <w:szCs w:val="22"/>
        </w:rPr>
        <w:t xml:space="preserve">Artículo [5]</w:t>
      </w:r>
    </w:p>
    <w:p>
      <w:pPr>
        <w:spacing w:after="60"/>
      </w:pPr>
      <w:r>
        <w:rPr>
          <w:b/>
          <w:bCs/>
          <w:sz w:val="22"/>
          <w:szCs w:val="22"/>
        </w:rPr>
        <w:t xml:space="preserve">Title (EN):  </w:t>
      </w:r>
      <w:r>
        <w:rPr>
          <w:i/>
          <w:iCs/>
          <w:sz w:val="22"/>
          <w:szCs w:val="22"/>
        </w:rPr>
        <w:t xml:space="preserve">MIMIC-IV, a freely accessible electronic health record dataset</w:t>
      </w:r>
    </w:p>
    <w:p>
      <w:pPr>
        <w:spacing w:after="120"/>
      </w:pPr>
      <w:r>
        <w:rPr>
          <w:b/>
          <w:bCs/>
          <w:sz w:val="22"/>
          <w:szCs w:val="22"/>
        </w:rPr>
        <w:t xml:space="preserve">Título (ES):  </w:t>
      </w:r>
      <w:r>
        <w:rPr>
          <w:i/>
          <w:iCs/>
          <w:sz w:val="22"/>
          <w:szCs w:val="22"/>
        </w:rPr>
        <w:t xml:space="preserve">MIMIC-IV, un conjunto de datos de registros electrónicos de salud de acceso libre</w:t>
      </w:r>
    </w:p>
    <w:p>
      <w:pPr>
        <w:spacing w:after="60" w:before="120"/>
      </w:pPr>
      <w:r>
        <w:rPr>
          <w:b/>
          <w:bCs/>
          <w:sz w:val="22"/>
          <w:szCs w:val="22"/>
        </w:rPr>
        <w:t xml:space="preserve">Autor(es):</w:t>
      </w:r>
    </w:p>
    <w:p>
      <w:pPr>
        <w:pStyle w:val="ListParagraph"/>
        <w:numPr>
          <w:ilvl w:val="0"/>
          <w:numId w:val="2"/>
        </w:numPr>
        <w:spacing w:after="60" w:line="300"/>
      </w:pPr>
      <w:r>
        <w:rPr>
          <w:sz w:val="22"/>
          <w:szCs w:val="22"/>
        </w:rPr>
        <w:t xml:space="preserve">Alistair E. W. Johnson</w:t>
      </w:r>
    </w:p>
    <w:p>
      <w:pPr>
        <w:pStyle w:val="ListParagraph"/>
        <w:numPr>
          <w:ilvl w:val="0"/>
          <w:numId w:val="2"/>
        </w:numPr>
        <w:spacing w:after="60" w:line="300"/>
      </w:pPr>
      <w:r>
        <w:rPr>
          <w:sz w:val="22"/>
          <w:szCs w:val="22"/>
        </w:rPr>
        <w:t xml:space="preserve">Lucas Bulgarelli</w:t>
      </w:r>
    </w:p>
    <w:p>
      <w:pPr>
        <w:pStyle w:val="ListParagraph"/>
        <w:numPr>
          <w:ilvl w:val="0"/>
          <w:numId w:val="2"/>
        </w:numPr>
        <w:spacing w:after="60" w:line="300"/>
      </w:pPr>
      <w:r>
        <w:rPr>
          <w:sz w:val="22"/>
          <w:szCs w:val="22"/>
        </w:rPr>
        <w:t xml:space="preserve">Leo Shen</w:t>
      </w:r>
    </w:p>
    <w:p>
      <w:pPr>
        <w:pStyle w:val="ListParagraph"/>
        <w:numPr>
          <w:ilvl w:val="0"/>
          <w:numId w:val="2"/>
        </w:numPr>
        <w:spacing w:after="60" w:line="300"/>
      </w:pPr>
      <w:r>
        <w:rPr>
          <w:sz w:val="22"/>
          <w:szCs w:val="22"/>
        </w:rPr>
        <w:t xml:space="preserve">Alvin Gayles</w:t>
      </w:r>
    </w:p>
    <w:p>
      <w:pPr>
        <w:pStyle w:val="ListParagraph"/>
        <w:numPr>
          <w:ilvl w:val="0"/>
          <w:numId w:val="2"/>
        </w:numPr>
        <w:spacing w:after="60" w:line="300"/>
      </w:pPr>
      <w:r>
        <w:rPr>
          <w:sz w:val="22"/>
          <w:szCs w:val="22"/>
        </w:rPr>
        <w:t xml:space="preserve">Ayad Shammout</w:t>
      </w:r>
    </w:p>
    <w:p>
      <w:pPr>
        <w:pStyle w:val="ListParagraph"/>
        <w:numPr>
          <w:ilvl w:val="0"/>
          <w:numId w:val="2"/>
        </w:numPr>
        <w:spacing w:after="60" w:line="300"/>
      </w:pPr>
      <w:r>
        <w:rPr>
          <w:sz w:val="22"/>
          <w:szCs w:val="22"/>
        </w:rPr>
        <w:t xml:space="preserve">Steven Horng</w:t>
      </w:r>
    </w:p>
    <w:p>
      <w:pPr>
        <w:pStyle w:val="ListParagraph"/>
        <w:numPr>
          <w:ilvl w:val="0"/>
          <w:numId w:val="2"/>
        </w:numPr>
        <w:spacing w:after="60" w:line="300"/>
      </w:pPr>
      <w:r>
        <w:rPr>
          <w:sz w:val="22"/>
          <w:szCs w:val="22"/>
        </w:rPr>
        <w:t xml:space="preserve">Tom J. Pollard</w:t>
      </w:r>
    </w:p>
    <w:p>
      <w:pPr>
        <w:pStyle w:val="ListParagraph"/>
        <w:numPr>
          <w:ilvl w:val="0"/>
          <w:numId w:val="2"/>
        </w:numPr>
        <w:spacing w:after="60" w:line="300"/>
      </w:pPr>
      <w:r>
        <w:rPr>
          <w:sz w:val="22"/>
          <w:szCs w:val="22"/>
        </w:rPr>
        <w:t xml:space="preserve">Sicheng Hao</w:t>
      </w:r>
    </w:p>
    <w:p>
      <w:pPr>
        <w:pStyle w:val="ListParagraph"/>
        <w:numPr>
          <w:ilvl w:val="0"/>
          <w:numId w:val="2"/>
        </w:numPr>
        <w:spacing w:after="60" w:line="300"/>
      </w:pPr>
      <w:r>
        <w:rPr>
          <w:sz w:val="22"/>
          <w:szCs w:val="22"/>
        </w:rPr>
        <w:t xml:space="preserve">Benjamin Moody</w:t>
      </w:r>
    </w:p>
    <w:p>
      <w:pPr>
        <w:pStyle w:val="ListParagraph"/>
        <w:numPr>
          <w:ilvl w:val="0"/>
          <w:numId w:val="2"/>
        </w:numPr>
        <w:spacing w:after="60" w:line="300"/>
      </w:pPr>
      <w:r>
        <w:rPr>
          <w:sz w:val="22"/>
          <w:szCs w:val="22"/>
        </w:rPr>
        <w:t xml:space="preserve">Brian Gow</w:t>
      </w:r>
    </w:p>
    <w:p>
      <w:pPr>
        <w:pStyle w:val="ListParagraph"/>
        <w:numPr>
          <w:ilvl w:val="0"/>
          <w:numId w:val="2"/>
        </w:numPr>
        <w:spacing w:after="60" w:line="300"/>
      </w:pPr>
      <w:r>
        <w:rPr>
          <w:sz w:val="22"/>
          <w:szCs w:val="22"/>
        </w:rPr>
        <w:t xml:space="preserve">Li-wei H. Lehman</w:t>
      </w:r>
    </w:p>
    <w:p>
      <w:pPr>
        <w:pStyle w:val="ListParagraph"/>
        <w:numPr>
          <w:ilvl w:val="0"/>
          <w:numId w:val="2"/>
        </w:numPr>
        <w:spacing w:after="60" w:line="300"/>
      </w:pPr>
      <w:r>
        <w:rPr>
          <w:sz w:val="22"/>
          <w:szCs w:val="22"/>
        </w:rPr>
        <w:t xml:space="preserve">Leo Anthony Celi</w:t>
      </w:r>
    </w:p>
    <w:p>
      <w:pPr>
        <w:pStyle w:val="ListParagraph"/>
        <w:numPr>
          <w:ilvl w:val="0"/>
          <w:numId w:val="2"/>
        </w:numPr>
        <w:spacing w:after="60" w:line="300"/>
      </w:pPr>
      <w:r>
        <w:rPr>
          <w:sz w:val="22"/>
          <w:szCs w:val="22"/>
        </w:rPr>
        <w:t xml:space="preserve">Roger G. Mark</w:t>
      </w:r>
    </w:p>
    <w:p>
      <w:pPr>
        <w:spacing w:after="60" w:before="120"/>
      </w:pPr>
      <w:r>
        <w:rPr>
          <w:b/>
          <w:bCs/>
          <w:sz w:val="22"/>
          <w:szCs w:val="22"/>
        </w:rPr>
        <w:t xml:space="preserve">Fuente:</w:t>
      </w:r>
    </w:p>
    <w:p>
      <w:pPr>
        <w:spacing w:after="120" w:line="320"/>
        <w:jc w:val="both"/>
      </w:pPr>
      <w:r>
        <w:rPr>
          <w:b w:val="false"/>
          <w:bCs w:val="false"/>
          <w:i w:val="false"/>
          <w:iCs w:val="false"/>
          <w:sz w:val="22"/>
          <w:szCs w:val="22"/>
        </w:rPr>
        <w:t xml:space="preserve">Scientific Data, vol. 10, n.º 1, art. 1. Nature Publishing Group</w:t>
      </w:r>
    </w:p>
    <w:p>
      <w:pPr>
        <w:spacing w:after="120" w:line="320"/>
        <w:jc w:val="both"/>
      </w:pPr>
      <w:r>
        <w:rPr>
          <w:b w:val="false"/>
          <w:bCs w:val="false"/>
          <w:i w:val="false"/>
          <w:iCs w:val="false"/>
          <w:sz w:val="22"/>
          <w:szCs w:val="22"/>
        </w:rPr>
        <w:t xml:space="preserve">Año de publicación: 2023</w:t>
      </w:r>
    </w:p>
    <w:p>
      <w:pPr>
        <w:spacing w:after="60"/>
      </w:pPr>
      <w:r>
        <w:rPr>
          <w:b/>
          <w:bCs/>
          <w:sz w:val="20"/>
          <w:szCs w:val="20"/>
        </w:rPr>
        <w:t xml:space="preserve">DOI:  </w:t>
      </w:r>
      <w:r>
        <w:rPr>
          <w:rFonts w:ascii="Consolas" w:cs="Consolas" w:eastAsia="Consolas" w:hAnsi="Consolas"/>
          <w:sz w:val="20"/>
          <w:szCs w:val="20"/>
        </w:rPr>
        <w:t xml:space="preserve">10.1038/s41597-022-01899-x</w:t>
      </w:r>
    </w:p>
    <w:p>
      <w:pPr>
        <w:spacing w:after="60"/>
      </w:pPr>
      <w:r>
        <w:rPr>
          <w:b/>
          <w:bCs/>
          <w:sz w:val="20"/>
          <w:szCs w:val="20"/>
        </w:rPr>
        <w:t xml:space="preserve">Enlace al artículo:  </w:t>
      </w:r>
      <w:hyperlink w:history="1" r:id="rIdwyjmgf-4vbpasts_bqnmo">
        <w:r>
          <w:rPr>
            <w:rStyle w:val="Hyperlink"/>
            <w:color w:val="2E74B5"/>
            <w:sz w:val="18"/>
            <w:szCs w:val="18"/>
            <w:u w:val="single"/>
          </w:rPr>
          <w:t xml:space="preserve">https://www.nature.com/articles/s41597-022-01899-x</w:t>
        </w:r>
      </w:hyperlink>
    </w:p>
    <w:p>
      <w:pPr>
        <w:spacing w:after="120" w:before="200"/>
      </w:pPr>
      <w:r>
        <w:rPr>
          <w:b/>
          <w:bCs/>
          <w:color w:val="2E74B5"/>
          <w:sz w:val="22"/>
          <w:szCs w:val="22"/>
        </w:rPr>
        <w:t xml:space="preserve">1.25  Objetivo del artículo</w:t>
      </w:r>
    </w:p>
    <w:p>
      <w:pPr>
        <w:spacing w:after="120" w:line="320"/>
        <w:jc w:val="both"/>
      </w:pPr>
      <w:r>
        <w:rPr>
          <w:i/>
          <w:iCs/>
          <w:color w:val="1F3864"/>
          <w:sz w:val="22"/>
          <w:szCs w:val="22"/>
        </w:rPr>
        <w:t xml:space="preserve">«Los autores presentan formalmente MIMIC-IV, un dataset de registros electrónicos de salud público, deidentificado y modular, construido para superar las limitaciones de su predecesor MIMIC-III y facilitar la investigación reproducible en informática biomédica, machine learning aplicado a salud y seguridad del paciente.»</w:t>
      </w:r>
    </w:p>
    <w:p>
      <w:pPr>
        <w:spacing w:after="120" w:before="200"/>
      </w:pPr>
      <w:r>
        <w:rPr>
          <w:b/>
          <w:bCs/>
          <w:color w:val="2E74B5"/>
          <w:sz w:val="22"/>
          <w:szCs w:val="22"/>
        </w:rPr>
        <w:t xml:space="preserve">1.26  Metodología</w:t>
      </w:r>
    </w:p>
    <w:p>
      <w:pPr>
        <w:spacing w:after="120" w:line="320"/>
        <w:jc w:val="both"/>
      </w:pPr>
      <w:r>
        <w:rPr>
          <w:i/>
          <w:iCs/>
          <w:color w:val="1F3864"/>
          <w:sz w:val="22"/>
          <w:szCs w:val="22"/>
        </w:rPr>
        <w:t xml:space="preserve">«Construcción de un dataset a partir de los registros del Beth Israel Deaconess Medical Center (Boston, MA, EE. UU.) cubriendo admisiones entre 2008 y 2019. Pasos: extracción de datos crudos del EHR institucional; deidentificación según estándar HIPAA Safe Harbor; organización modular en hosp (hospitalización), icu (cuidados intensivos), ed (emergencia), note (notas clínicas no estructuradas); validación de la deidentificación; distribución pública vía PhysioNet bajo Data Use Agreement.»</w:t>
      </w:r>
    </w:p>
    <w:p>
      <w:pPr>
        <w:spacing w:after="120" w:before="200"/>
      </w:pPr>
      <w:r>
        <w:rPr>
          <w:b/>
          <w:bCs/>
          <w:color w:val="2E74B5"/>
          <w:sz w:val="22"/>
          <w:szCs w:val="22"/>
        </w:rPr>
        <w:t xml:space="preserve">1.27  Resultados Principales</w:t>
      </w:r>
    </w:p>
    <w:p>
      <w:pPr>
        <w:spacing w:after="120" w:line="320"/>
        <w:jc w:val="both"/>
      </w:pPr>
      <w:r>
        <w:rPr>
          <w:i/>
          <w:iCs/>
          <w:color w:val="1F3864"/>
          <w:sz w:val="22"/>
          <w:szCs w:val="22"/>
        </w:rPr>
        <w:t xml:space="preserve">«El dataset cubre 65 366 pacientes admitidos a UCI y 200 859 pacientes admitidos a emergencia. Incluye demografía, signos vitales, laboratorios, órdenes médicas, diagnósticos ICD-9/10, procedimientos, tratamientos farmacológicos y notas clínicas no estructuradas (discharge summaries, physician notes, nursing notes, radiology reports). La deidentificación es validada mediante auditorías y herramientas de detección automática de PHI.»</w:t>
      </w:r>
    </w:p>
    <w:p>
      <w:pPr>
        <w:spacing w:after="120" w:before="200"/>
      </w:pPr>
      <w:r>
        <w:rPr>
          <w:b/>
          <w:bCs/>
          <w:color w:val="2E74B5"/>
          <w:sz w:val="22"/>
          <w:szCs w:val="22"/>
        </w:rPr>
        <w:t xml:space="preserve">1.28  Conclusiones</w:t>
      </w:r>
    </w:p>
    <w:p>
      <w:pPr>
        <w:spacing w:after="120" w:line="320"/>
        <w:jc w:val="both"/>
      </w:pPr>
      <w:r>
        <w:rPr>
          <w:i/>
          <w:iCs/>
          <w:color w:val="1F3864"/>
          <w:sz w:val="22"/>
          <w:szCs w:val="22"/>
        </w:rPr>
        <w:t xml:space="preserve">«MIMIC-IV constituye una infraestructura crítica para la investigación abierta en salud, eliminando barreras de acceso a datos de calidad. Su modularidad permite tanto análisis especializados como integraciones complejas. Los autores esperan que el dataset acelere la reproducibilidad y la transferencia de hallazgos entre grupos de investigación.»</w:t>
      </w:r>
    </w:p>
    <w:p>
      <w:pPr>
        <w:spacing w:after="120" w:before="200"/>
      </w:pPr>
      <w:r>
        <w:rPr>
          <w:b/>
          <w:bCs/>
          <w:color w:val="2E74B5"/>
          <w:sz w:val="22"/>
          <w:szCs w:val="22"/>
        </w:rPr>
        <w:t xml:space="preserve">1.29  Crítica Personal</w:t>
      </w:r>
    </w:p>
    <w:p>
      <w:pPr>
        <w:spacing w:after="120" w:line="320"/>
        <w:jc w:val="both"/>
      </w:pPr>
      <w:r>
        <w:rPr>
          <w:b w:val="false"/>
          <w:bCs w:val="false"/>
          <w:i w:val="false"/>
          <w:iCs w:val="false"/>
          <w:sz w:val="22"/>
          <w:szCs w:val="22"/>
        </w:rPr>
        <w:t xml:space="preserve">Es la cita técnica obligada de la presente tesis: define las propiedades del dataset que será la columna vertebral del Capítulo III. La modularidad permite enfocarse en el módulo note para la Etapa 1 (NLP) y combinar con hosp e icu para la Etapa 2 (proxies de las dimensiones GEMSES). La principal limitación, reconocida por los propios autores, es el origen monocéntrico (Boston) y la lengua inglesa, lo que la tesis aborda explícitamente en alcances y limitaciones (Capítulo I) y en el Objetivo Específico 5. Otra limitación es la ausencia de etiquetas explícitas de eventos adversos, lo que obliga a estrategias de weak supervision o anotación manual.</w:t>
      </w:r>
    </w:p>
    <w:p>
      <w:pPr>
        <w:spacing w:after="120" w:before="200"/>
      </w:pPr>
      <w:r>
        <w:rPr>
          <w:b/>
          <w:bCs/>
          <w:color w:val="2E74B5"/>
          <w:sz w:val="22"/>
          <w:szCs w:val="22"/>
        </w:rPr>
        <w:t xml:space="preserve">1.30  Palabras Claves</w:t>
      </w:r>
    </w:p>
    <w:p>
      <w:pPr>
        <w:spacing w:after="120" w:line="320"/>
        <w:jc w:val="both"/>
      </w:pPr>
      <w:r>
        <w:rPr>
          <w:b w:val="false"/>
          <w:bCs w:val="false"/>
          <w:i w:val="false"/>
          <w:iCs w:val="false"/>
          <w:sz w:val="22"/>
          <w:szCs w:val="22"/>
        </w:rPr>
        <w:t xml:space="preserve">MIMIC-IV, electronic health records, dataset, deidentification, ICU, PhysioNet, open data, biomedical informatics.</w:t>
      </w:r>
    </w:p>
    <w:p>
      <w:pPr>
        <w:pageBreakBefore/>
        <w:spacing w:after="60" w:before="360"/>
      </w:pPr>
      <w:r>
        <w:rPr>
          <w:b/>
          <w:bCs/>
          <w:color w:val="1F3864"/>
          <w:sz w:val="22"/>
          <w:szCs w:val="22"/>
        </w:rPr>
        <w:t xml:space="preserve">Artículo [6]</w:t>
      </w:r>
    </w:p>
    <w:p>
      <w:pPr>
        <w:spacing w:after="60"/>
      </w:pPr>
      <w:r>
        <w:rPr>
          <w:b/>
          <w:bCs/>
          <w:sz w:val="22"/>
          <w:szCs w:val="22"/>
        </w:rPr>
        <w:t xml:space="preserve">Title (EN):  </w:t>
      </w:r>
      <w:r>
        <w:rPr>
          <w:i/>
          <w:iCs/>
          <w:sz w:val="22"/>
          <w:szCs w:val="22"/>
        </w:rPr>
        <w:t xml:space="preserve">Revisiting Clinical Outcome Prediction for MIMIC-IV</w:t>
      </w:r>
    </w:p>
    <w:p>
      <w:pPr>
        <w:spacing w:after="120"/>
      </w:pPr>
      <w:r>
        <w:rPr>
          <w:b/>
          <w:bCs/>
          <w:sz w:val="22"/>
          <w:szCs w:val="22"/>
        </w:rPr>
        <w:t xml:space="preserve">Título (ES):  </w:t>
      </w:r>
      <w:r>
        <w:rPr>
          <w:i/>
          <w:iCs/>
          <w:sz w:val="22"/>
          <w:szCs w:val="22"/>
        </w:rPr>
        <w:t xml:space="preserve">Re-evaluación de la predicción de outcomes clínicos sobre MIMIC-IV</w:t>
      </w:r>
    </w:p>
    <w:p>
      <w:pPr>
        <w:spacing w:after="60" w:before="120"/>
      </w:pPr>
      <w:r>
        <w:rPr>
          <w:b/>
          <w:bCs/>
          <w:sz w:val="22"/>
          <w:szCs w:val="22"/>
        </w:rPr>
        <w:t xml:space="preserve">Autor(es):</w:t>
      </w:r>
    </w:p>
    <w:p>
      <w:pPr>
        <w:pStyle w:val="ListParagraph"/>
        <w:numPr>
          <w:ilvl w:val="0"/>
          <w:numId w:val="2"/>
        </w:numPr>
        <w:spacing w:after="60" w:line="300"/>
      </w:pPr>
      <w:r>
        <w:rPr>
          <w:sz w:val="22"/>
          <w:szCs w:val="22"/>
        </w:rPr>
        <w:t xml:space="preserve">Betty van Aken</w:t>
      </w:r>
    </w:p>
    <w:p>
      <w:pPr>
        <w:pStyle w:val="ListParagraph"/>
        <w:numPr>
          <w:ilvl w:val="0"/>
          <w:numId w:val="2"/>
        </w:numPr>
        <w:spacing w:after="60" w:line="300"/>
      </w:pPr>
      <w:r>
        <w:rPr>
          <w:sz w:val="22"/>
          <w:szCs w:val="22"/>
        </w:rPr>
        <w:t xml:space="preserve">et al.</w:t>
      </w:r>
    </w:p>
    <w:p>
      <w:pPr>
        <w:spacing w:after="60" w:before="120"/>
      </w:pPr>
      <w:r>
        <w:rPr>
          <w:b/>
          <w:bCs/>
          <w:sz w:val="22"/>
          <w:szCs w:val="22"/>
        </w:rPr>
        <w:t xml:space="preserve">Fuente:</w:t>
      </w:r>
    </w:p>
    <w:p>
      <w:pPr>
        <w:spacing w:after="120" w:line="320"/>
        <w:jc w:val="both"/>
      </w:pPr>
      <w:r>
        <w:rPr>
          <w:b w:val="false"/>
          <w:bCs w:val="false"/>
          <w:i w:val="false"/>
          <w:iCs w:val="false"/>
          <w:sz w:val="22"/>
          <w:szCs w:val="22"/>
        </w:rPr>
        <w:t xml:space="preserve">Proceedings of the 6th Clinical Natural Language Processing Workshop (ClinicalNLP @ NAACL 2024). Association for Computational Linguistics</w:t>
      </w:r>
    </w:p>
    <w:p>
      <w:pPr>
        <w:spacing w:after="120" w:line="320"/>
        <w:jc w:val="both"/>
      </w:pPr>
      <w:r>
        <w:rPr>
          <w:b w:val="false"/>
          <w:bCs w:val="false"/>
          <w:i w:val="false"/>
          <w:iCs w:val="false"/>
          <w:sz w:val="22"/>
          <w:szCs w:val="22"/>
        </w:rPr>
        <w:t xml:space="preserve">Año de publicación: 2024</w:t>
      </w:r>
    </w:p>
    <w:p>
      <w:pPr>
        <w:spacing w:after="60"/>
      </w:pPr>
      <w:r>
        <w:rPr>
          <w:b/>
          <w:bCs/>
          <w:sz w:val="20"/>
          <w:szCs w:val="20"/>
        </w:rPr>
        <w:t xml:space="preserve">DOI:  </w:t>
      </w:r>
      <w:r>
        <w:rPr>
          <w:rFonts w:ascii="Consolas" w:cs="Consolas" w:eastAsia="Consolas" w:hAnsi="Consolas"/>
          <w:sz w:val="20"/>
          <w:szCs w:val="20"/>
        </w:rPr>
        <w:t xml:space="preserve">—</w:t>
      </w:r>
    </w:p>
    <w:p>
      <w:pPr>
        <w:spacing w:after="60"/>
      </w:pPr>
      <w:r>
        <w:rPr>
          <w:b/>
          <w:bCs/>
          <w:sz w:val="20"/>
          <w:szCs w:val="20"/>
        </w:rPr>
        <w:t xml:space="preserve">Enlace al artículo:  </w:t>
      </w:r>
      <w:hyperlink w:history="1" r:id="rIdlax6ejergvioebjcxz4la">
        <w:r>
          <w:rPr>
            <w:rStyle w:val="Hyperlink"/>
            <w:color w:val="2E74B5"/>
            <w:sz w:val="18"/>
            <w:szCs w:val="18"/>
            <w:u w:val="single"/>
          </w:rPr>
          <w:t xml:space="preserve">https://aclanthology.org/2024.clinicalnlp-1.18.pdf</w:t>
        </w:r>
      </w:hyperlink>
    </w:p>
    <w:p>
      <w:pPr>
        <w:spacing w:after="120" w:before="200"/>
      </w:pPr>
      <w:r>
        <w:rPr>
          <w:b/>
          <w:bCs/>
          <w:color w:val="2E74B5"/>
          <w:sz w:val="22"/>
          <w:szCs w:val="22"/>
        </w:rPr>
        <w:t xml:space="preserve">1.31  Objetivo del artículo</w:t>
      </w:r>
    </w:p>
    <w:p>
      <w:pPr>
        <w:spacing w:after="120" w:line="320"/>
        <w:jc w:val="both"/>
      </w:pPr>
      <w:r>
        <w:rPr>
          <w:i/>
          <w:iCs/>
          <w:color w:val="1F3864"/>
          <w:sz w:val="22"/>
          <w:szCs w:val="22"/>
        </w:rPr>
        <w:t xml:space="preserve">«Los autores re-evalúan las tareas estándar de predicción de outcomes clínicos (mortalidad intrahospitalaria, readmisión, length of stay) sobre MIMIC-IV, comparando arquitecturas modernas (transformers biomédicos preentrenados, large language models de propósito general) frente a baselines tradicionales (LSTM, XGBoost), con el fin de establecer benchmarks actualizados.»</w:t>
      </w:r>
    </w:p>
    <w:p>
      <w:pPr>
        <w:spacing w:after="120" w:before="200"/>
      </w:pPr>
      <w:r>
        <w:rPr>
          <w:b/>
          <w:bCs/>
          <w:color w:val="2E74B5"/>
          <w:sz w:val="22"/>
          <w:szCs w:val="22"/>
        </w:rPr>
        <w:t xml:space="preserve">1.32  Metodología</w:t>
      </w:r>
    </w:p>
    <w:p>
      <w:pPr>
        <w:spacing w:after="120" w:line="320"/>
        <w:jc w:val="both"/>
      </w:pPr>
      <w:r>
        <w:rPr>
          <w:i/>
          <w:iCs/>
          <w:color w:val="1F3864"/>
          <w:sz w:val="22"/>
          <w:szCs w:val="22"/>
        </w:rPr>
        <w:t xml:space="preserve">«Estudio empírico comparativo. Tres tareas: predicción de mortalidad in-hospital, readmisión a 30 días y length of stay. Cinco familias de modelos evaluadas: LSTM sobre features tabulares; XGBoost; BioBERT fine-tuneado sobre notas; ClinicalBERT fine-tuneado; y un LLM general (GPT-style) en zero-shot y few-shot. Métricas: AUC-ROC, AUC-PR, F1, precision y recall. Splits estratificados train/val/test.»</w:t>
      </w:r>
    </w:p>
    <w:p>
      <w:pPr>
        <w:spacing w:after="120" w:line="320"/>
        <w:jc w:val="both"/>
      </w:pPr>
      <w:r>
        <w:rPr>
          <w:b w:val="false"/>
          <w:bCs w:val="false"/>
          <w:i w:val="false"/>
          <w:iCs w:val="false"/>
          <w:sz w:val="22"/>
          <w:szCs w:val="22"/>
        </w:rPr>
        <w:t xml:space="preserve">La métrica principal AUC-ROC se calcula como el área bajo la curva ROC y está ligada a la probabilidad de que el modelo asigne mayor score a una instancia positiva que a una negativa.</w:t>
      </w:r>
    </w:p>
    <w:p>
      <w:pPr>
        <w:pBdr>
          <w:top w:val="single" w:color="1F3864" w:sz="6" w:space="4"/>
          <w:bottom w:val="single" w:color="1F3864" w:sz="6" w:space="4"/>
        </w:pBdr>
        <w:shd w:fill="F8F8FB" w:val="clear"/>
        <w:spacing w:after="200" w:before="200"/>
        <w:jc w:val="center"/>
      </w:pPr>
      <w:r>
        <w:rPr>
          <w:b/>
          <w:bCs/>
          <w:i/>
          <w:iCs/>
          <w:color w:val="1F3864"/>
          <w:sz w:val="28"/>
          <w:szCs w:val="28"/>
        </w:rPr>
        <w:t xml:space="preserve">AUC</w:t>
      </w:r>
      <w:r>
        <w:rPr>
          <w:b w:val="false"/>
          <w:bCs w:val="false"/>
          <w:i w:val="false"/>
          <w:iCs w:val="false"/>
          <w:color w:val="1F3864"/>
          <w:sz w:val="28"/>
          <w:szCs w:val="28"/>
        </w:rPr>
        <w:t xml:space="preserve"> = </w:t>
      </w:r>
      <w:r>
        <w:rPr>
          <w:b w:val="false"/>
          <w:bCs w:val="false"/>
          <w:i/>
          <w:iCs/>
          <w:color w:val="1F3864"/>
          <w:sz w:val="28"/>
          <w:szCs w:val="28"/>
        </w:rPr>
        <w:t xml:space="preserve">P</w:t>
      </w:r>
      <w:r>
        <w:rPr>
          <w:b w:val="false"/>
          <w:bCs w:val="false"/>
          <w:i w:val="false"/>
          <w:iCs w:val="false"/>
          <w:color w:val="1F3864"/>
          <w:sz w:val="28"/>
          <w:szCs w:val="28"/>
        </w:rPr>
        <w:t xml:space="preserve">(</w:t>
      </w:r>
      <w:r>
        <w:rPr>
          <w:b w:val="false"/>
          <w:bCs w:val="false"/>
          <w:i/>
          <w:iCs/>
          <w:color w:val="1F3864"/>
          <w:sz w:val="24"/>
          <w:szCs w:val="24"/>
        </w:rPr>
        <w:t xml:space="preserve">score(x⁺) &gt; score(x⁻)</w:t>
      </w:r>
      <w:r>
        <w:rPr>
          <w:b w:val="false"/>
          <w:bCs w:val="false"/>
          <w:i w:val="false"/>
          <w:iCs w:val="false"/>
          <w:color w:val="1F3864"/>
          <w:sz w:val="28"/>
          <w:szCs w:val="28"/>
        </w:rPr>
        <w:t xml:space="preserve">)</w:t>
      </w:r>
    </w:p>
    <w:p>
      <w:pPr>
        <w:spacing w:after="240"/>
        <w:jc w:val="center"/>
      </w:pPr>
      <w:r>
        <w:rPr>
          <w:b/>
          <w:bCs/>
          <w:i/>
          <w:iCs/>
          <w:color w:val="808080"/>
          <w:sz w:val="18"/>
          <w:szCs w:val="18"/>
        </w:rPr>
        <w:t xml:space="preserve">Ecuación 3. </w:t>
      </w:r>
      <w:r>
        <w:rPr>
          <w:i/>
          <w:iCs/>
          <w:color w:val="808080"/>
          <w:sz w:val="18"/>
          <w:szCs w:val="18"/>
        </w:rPr>
        <w:t xml:space="preserve">Probabilidad asociada al AUC-ROC: probabilidad de ranking correcto entre un par positivo-negativo aleatorio.</w:t>
      </w:r>
    </w:p>
    <w:p>
      <w:pPr>
        <w:spacing w:after="120" w:before="200"/>
      </w:pPr>
      <w:r>
        <w:rPr>
          <w:b/>
          <w:bCs/>
          <w:color w:val="2E74B5"/>
          <w:sz w:val="22"/>
          <w:szCs w:val="22"/>
        </w:rPr>
        <w:t xml:space="preserve">1.33  Resultados Principales</w:t>
      </w:r>
    </w:p>
    <w:p>
      <w:pPr>
        <w:spacing w:after="120" w:line="320"/>
        <w:jc w:val="both"/>
      </w:pPr>
      <w:r>
        <w:rPr>
          <w:i/>
          <w:iCs/>
          <w:color w:val="1F3864"/>
          <w:sz w:val="22"/>
          <w:szCs w:val="22"/>
        </w:rPr>
        <w:t xml:space="preserve">«Los transformers biomédicos preentrenados superaron sistemáticamente a los baselines clásicos en las tres tareas, con mejoras en AUC-ROC entre 0.03 y 0.08 puntos. Los LLMs generales sin fine-tuning rindieron significativamente por debajo de los modelos especializados, confirmando que la especialización de dominio sigue siendo crítica. ClinicalBERT fue ligeramente superior a BioBERT en tareas con alta carga de jerga clínica.»</w:t>
      </w:r>
    </w:p>
    <w:p>
      <w:pPr>
        <w:spacing w:after="120" w:before="200"/>
      </w:pPr>
      <w:r>
        <w:rPr>
          <w:b/>
          <w:bCs/>
          <w:color w:val="2E74B5"/>
          <w:sz w:val="22"/>
          <w:szCs w:val="22"/>
        </w:rPr>
        <w:t xml:space="preserve">1.34  Conclusiones</w:t>
      </w:r>
    </w:p>
    <w:p>
      <w:pPr>
        <w:spacing w:after="120" w:line="320"/>
        <w:jc w:val="both"/>
      </w:pPr>
      <w:r>
        <w:rPr>
          <w:i/>
          <w:iCs/>
          <w:color w:val="1F3864"/>
          <w:sz w:val="22"/>
          <w:szCs w:val="22"/>
        </w:rPr>
        <w:t xml:space="preserve">«Los transformers biomédicos siguen siendo la mejor opción para predicción de outcomes clínicos sobre MIMIC-IV; los LLMs generales requieren fine-tuning específico para competir; y la actualización de benchmarks es necesaria conforme aparecen nuevas arquitecturas. Los autores publican código y pesos para reproducibilidad.»</w:t>
      </w:r>
    </w:p>
    <w:p>
      <w:pPr>
        <w:spacing w:after="120" w:before="200"/>
      </w:pPr>
      <w:r>
        <w:rPr>
          <w:b/>
          <w:bCs/>
          <w:color w:val="2E74B5"/>
          <w:sz w:val="22"/>
          <w:szCs w:val="22"/>
        </w:rPr>
        <w:t xml:space="preserve">1.35  Crítica Personal</w:t>
      </w:r>
    </w:p>
    <w:p>
      <w:pPr>
        <w:spacing w:after="120" w:line="320"/>
        <w:jc w:val="both"/>
      </w:pPr>
      <w:r>
        <w:rPr>
          <w:b w:val="false"/>
          <w:bCs w:val="false"/>
          <w:i w:val="false"/>
          <w:iCs w:val="false"/>
          <w:sz w:val="22"/>
          <w:szCs w:val="22"/>
        </w:rPr>
        <w:t xml:space="preserve">Provee la base metodológica cuantitativa más sólida y reciente para defender la elección de transformers biomédicos en el Capítulo III de la tesis. Justifica empíricamente no caer en la tentación de usar GPT-4 sin fine-tuning. Como limitación, el estudio no incluye tareas de detección o priorización de eventos adversos específicamente, lo que es exactamente la tarea original que la tesis aporta. Adicionalmente, los autores no integran sus modelos con sistemas institucionales de gestión de calidad, espacio que GEMSES llena.</w:t>
      </w:r>
    </w:p>
    <w:p>
      <w:pPr>
        <w:spacing w:after="120" w:before="200"/>
      </w:pPr>
      <w:r>
        <w:rPr>
          <w:b/>
          <w:bCs/>
          <w:color w:val="2E74B5"/>
          <w:sz w:val="22"/>
          <w:szCs w:val="22"/>
        </w:rPr>
        <w:t xml:space="preserve">1.36  Palabras Claves</w:t>
      </w:r>
    </w:p>
    <w:p>
      <w:pPr>
        <w:spacing w:after="120" w:line="320"/>
        <w:jc w:val="both"/>
      </w:pPr>
      <w:r>
        <w:rPr>
          <w:b w:val="false"/>
          <w:bCs w:val="false"/>
          <w:i w:val="false"/>
          <w:iCs w:val="false"/>
          <w:sz w:val="22"/>
          <w:szCs w:val="22"/>
        </w:rPr>
        <w:t xml:space="preserve">MIMIC-IV, clinical outcome prediction, BioBERT, ClinicalBERT, benchmarking, mortality prediction, readmission, LLM.</w:t>
      </w:r>
    </w:p>
    <w:p>
      <w:pPr>
        <w:pageBreakBefore/>
        <w:spacing w:after="60" w:before="360"/>
      </w:pPr>
      <w:r>
        <w:rPr>
          <w:b/>
          <w:bCs/>
          <w:color w:val="1F3864"/>
          <w:sz w:val="22"/>
          <w:szCs w:val="22"/>
        </w:rPr>
        <w:t xml:space="preserve">Artículo [7]</w:t>
      </w:r>
    </w:p>
    <w:p>
      <w:pPr>
        <w:spacing w:after="60"/>
      </w:pPr>
      <w:r>
        <w:rPr>
          <w:b/>
          <w:bCs/>
          <w:sz w:val="22"/>
          <w:szCs w:val="22"/>
        </w:rPr>
        <w:t xml:space="preserve">Title (EN):  </w:t>
      </w:r>
      <w:r>
        <w:rPr>
          <w:i/>
          <w:iCs/>
          <w:sz w:val="22"/>
          <w:szCs w:val="22"/>
        </w:rPr>
        <w:t xml:space="preserve">Machine learning to predict adverse drug events based on electronic health records: a systematic review and meta-analysis</w:t>
      </w:r>
    </w:p>
    <w:p>
      <w:pPr>
        <w:spacing w:after="120"/>
      </w:pPr>
      <w:r>
        <w:rPr>
          <w:b/>
          <w:bCs/>
          <w:sz w:val="22"/>
          <w:szCs w:val="22"/>
        </w:rPr>
        <w:t xml:space="preserve">Título (ES):  </w:t>
      </w:r>
      <w:r>
        <w:rPr>
          <w:i/>
          <w:iCs/>
          <w:sz w:val="22"/>
          <w:szCs w:val="22"/>
        </w:rPr>
        <w:t xml:space="preserve">Aprendizaje automático para predecir eventos adversos por medicamentos a partir de registros electrónicos de salud: revisión sistemática y metaanálisis</w:t>
      </w:r>
    </w:p>
    <w:p>
      <w:pPr>
        <w:spacing w:after="60" w:before="120"/>
      </w:pPr>
      <w:r>
        <w:rPr>
          <w:b/>
          <w:bCs/>
          <w:sz w:val="22"/>
          <w:szCs w:val="22"/>
        </w:rPr>
        <w:t xml:space="preserve">Autor(es):</w:t>
      </w:r>
    </w:p>
    <w:p>
      <w:pPr>
        <w:pStyle w:val="ListParagraph"/>
        <w:numPr>
          <w:ilvl w:val="0"/>
          <w:numId w:val="2"/>
        </w:numPr>
        <w:spacing w:after="60" w:line="300"/>
      </w:pPr>
      <w:r>
        <w:rPr>
          <w:sz w:val="22"/>
          <w:szCs w:val="22"/>
        </w:rPr>
        <w:t xml:space="preserve">Qiaozhi Hu</w:t>
      </w:r>
    </w:p>
    <w:p>
      <w:pPr>
        <w:pStyle w:val="ListParagraph"/>
        <w:numPr>
          <w:ilvl w:val="0"/>
          <w:numId w:val="2"/>
        </w:numPr>
        <w:spacing w:after="60" w:line="300"/>
      </w:pPr>
      <w:r>
        <w:rPr>
          <w:sz w:val="22"/>
          <w:szCs w:val="22"/>
        </w:rPr>
        <w:t xml:space="preserve">Jiafeng Li</w:t>
      </w:r>
    </w:p>
    <w:p>
      <w:pPr>
        <w:pStyle w:val="ListParagraph"/>
        <w:numPr>
          <w:ilvl w:val="0"/>
          <w:numId w:val="2"/>
        </w:numPr>
        <w:spacing w:after="60" w:line="300"/>
      </w:pPr>
      <w:r>
        <w:rPr>
          <w:sz w:val="22"/>
          <w:szCs w:val="22"/>
        </w:rPr>
        <w:t xml:space="preserve">Xiaoqi Li</w:t>
      </w:r>
    </w:p>
    <w:p>
      <w:pPr>
        <w:pStyle w:val="ListParagraph"/>
        <w:numPr>
          <w:ilvl w:val="0"/>
          <w:numId w:val="2"/>
        </w:numPr>
        <w:spacing w:after="60" w:line="300"/>
      </w:pPr>
      <w:r>
        <w:rPr>
          <w:sz w:val="22"/>
          <w:szCs w:val="22"/>
        </w:rPr>
        <w:t xml:space="preserve">Dan Zou</w:t>
      </w:r>
    </w:p>
    <w:p>
      <w:pPr>
        <w:pStyle w:val="ListParagraph"/>
        <w:numPr>
          <w:ilvl w:val="0"/>
          <w:numId w:val="2"/>
        </w:numPr>
        <w:spacing w:after="60" w:line="300"/>
      </w:pPr>
      <w:r>
        <w:rPr>
          <w:sz w:val="22"/>
          <w:szCs w:val="22"/>
        </w:rPr>
        <w:t xml:space="preserve">Ting Xu</w:t>
      </w:r>
    </w:p>
    <w:p>
      <w:pPr>
        <w:pStyle w:val="ListParagraph"/>
        <w:numPr>
          <w:ilvl w:val="0"/>
          <w:numId w:val="2"/>
        </w:numPr>
        <w:spacing w:after="60" w:line="300"/>
      </w:pPr>
      <w:r>
        <w:rPr>
          <w:sz w:val="22"/>
          <w:szCs w:val="22"/>
        </w:rPr>
        <w:t xml:space="preserve">Zhiyao He</w:t>
      </w:r>
    </w:p>
    <w:p>
      <w:pPr>
        <w:spacing w:after="60" w:before="120"/>
      </w:pPr>
      <w:r>
        <w:rPr>
          <w:b/>
          <w:bCs/>
          <w:sz w:val="22"/>
          <w:szCs w:val="22"/>
        </w:rPr>
        <w:t xml:space="preserve">Fuente:</w:t>
      </w:r>
    </w:p>
    <w:p>
      <w:pPr>
        <w:spacing w:after="120" w:line="320"/>
        <w:jc w:val="both"/>
      </w:pPr>
      <w:r>
        <w:rPr>
          <w:b w:val="false"/>
          <w:bCs w:val="false"/>
          <w:i w:val="false"/>
          <w:iCs w:val="false"/>
          <w:sz w:val="22"/>
          <w:szCs w:val="22"/>
        </w:rPr>
        <w:t xml:space="preserve">Journal of International Medical Research, vol. 52, n.º 12. SAGE Publications</w:t>
      </w:r>
    </w:p>
    <w:p>
      <w:pPr>
        <w:spacing w:after="120" w:line="320"/>
        <w:jc w:val="both"/>
      </w:pPr>
      <w:r>
        <w:rPr>
          <w:b w:val="false"/>
          <w:bCs w:val="false"/>
          <w:i w:val="false"/>
          <w:iCs w:val="false"/>
          <w:sz w:val="22"/>
          <w:szCs w:val="22"/>
        </w:rPr>
        <w:t xml:space="preserve">Año de publicación: 2024</w:t>
      </w:r>
    </w:p>
    <w:p>
      <w:pPr>
        <w:spacing w:after="60"/>
      </w:pPr>
      <w:r>
        <w:rPr>
          <w:b/>
          <w:bCs/>
          <w:sz w:val="20"/>
          <w:szCs w:val="20"/>
        </w:rPr>
        <w:t xml:space="preserve">DOI:  </w:t>
      </w:r>
      <w:r>
        <w:rPr>
          <w:rFonts w:ascii="Consolas" w:cs="Consolas" w:eastAsia="Consolas" w:hAnsi="Consolas"/>
          <w:sz w:val="20"/>
          <w:szCs w:val="20"/>
        </w:rPr>
        <w:t xml:space="preserve">10.1177/03000605241302304</w:t>
      </w:r>
    </w:p>
    <w:p>
      <w:pPr>
        <w:spacing w:after="60"/>
      </w:pPr>
      <w:r>
        <w:rPr>
          <w:b/>
          <w:bCs/>
          <w:sz w:val="20"/>
          <w:szCs w:val="20"/>
        </w:rPr>
        <w:t xml:space="preserve">Enlace al artículo:  </w:t>
      </w:r>
      <w:hyperlink w:history="1" r:id="rIdvl2sga1rs4bkpbuvs_7d4">
        <w:r>
          <w:rPr>
            <w:rStyle w:val="Hyperlink"/>
            <w:color w:val="2E74B5"/>
            <w:sz w:val="18"/>
            <w:szCs w:val="18"/>
            <w:u w:val="single"/>
          </w:rPr>
          <w:t xml:space="preserve">https://journals.sagepub.com/doi/10.1177/03000605241302304</w:t>
        </w:r>
      </w:hyperlink>
    </w:p>
    <w:p>
      <w:pPr>
        <w:spacing w:after="120" w:before="200"/>
      </w:pPr>
      <w:r>
        <w:rPr>
          <w:b/>
          <w:bCs/>
          <w:color w:val="2E74B5"/>
          <w:sz w:val="22"/>
          <w:szCs w:val="22"/>
        </w:rPr>
        <w:t xml:space="preserve">1.37  Objetivo del artículo</w:t>
      </w:r>
    </w:p>
    <w:p>
      <w:pPr>
        <w:spacing w:after="120" w:line="320"/>
        <w:jc w:val="both"/>
      </w:pPr>
      <w:r>
        <w:rPr>
          <w:i/>
          <w:iCs/>
          <w:color w:val="1F3864"/>
          <w:sz w:val="22"/>
          <w:szCs w:val="22"/>
        </w:rPr>
        <w:t xml:space="preserve">«Los autores buscan sintetizar cuantitativamente, mediante meta-análisis, el desempeño global de los modelos de machine learning aplicados a la predicción de eventos adversos por medicamentos sobre registros electrónicos de salud, incluyendo MIMIC-IV, e identificar qué algoritmos y configuraciones obtienen mejor AUC.»</w:t>
      </w:r>
    </w:p>
    <w:p>
      <w:pPr>
        <w:spacing w:after="120" w:before="200"/>
      </w:pPr>
      <w:r>
        <w:rPr>
          <w:b/>
          <w:bCs/>
          <w:color w:val="2E74B5"/>
          <w:sz w:val="22"/>
          <w:szCs w:val="22"/>
        </w:rPr>
        <w:t xml:space="preserve">1.38  Metodología</w:t>
      </w:r>
    </w:p>
    <w:p>
      <w:pPr>
        <w:spacing w:after="120" w:line="320"/>
        <w:jc w:val="both"/>
      </w:pPr>
      <w:r>
        <w:rPr>
          <w:i/>
          <w:iCs/>
          <w:color w:val="1F3864"/>
          <w:sz w:val="22"/>
          <w:szCs w:val="22"/>
        </w:rPr>
        <w:t xml:space="preserve">«Revisión sistemática (PRISMA) más meta-análisis. Búsqueda en PubMed, Embase, Web of Science y Cochrane Library. Criterios de inclusión: estudios empíricos con al menos un algoritmo de ML aplicado a predicción de ADE sobre EHR, métricas reportadas (AUC, sensibilidad, especificidad). Meta-análisis de efectos aleatorios sobre AUC con cálculo de heterogeneidad I². Subgrupos analizados: tipo de algoritmo, tipo de evento, tamaño de la cohorte.»</w:t>
      </w:r>
    </w:p>
    <w:p>
      <w:pPr>
        <w:spacing w:after="120" w:line="320"/>
        <w:jc w:val="both"/>
      </w:pPr>
      <w:r>
        <w:rPr>
          <w:b w:val="false"/>
          <w:bCs w:val="false"/>
          <w:i w:val="false"/>
          <w:iCs w:val="false"/>
          <w:sz w:val="22"/>
          <w:szCs w:val="22"/>
        </w:rPr>
        <w:t xml:space="preserve">El meta-análisis de efectos aleatorios estima un efecto agrupado a partir de los efectos individuales de los k estudios incluidos, ponderados según su precisión.</w:t>
      </w:r>
    </w:p>
    <w:p>
      <w:pPr>
        <w:pBdr>
          <w:top w:val="single" w:color="1F3864" w:sz="6" w:space="4"/>
          <w:bottom w:val="single" w:color="1F3864" w:sz="6" w:space="4"/>
        </w:pBdr>
        <w:shd w:fill="F8F8FB" w:val="clear"/>
        <w:spacing w:after="200" w:before="200"/>
        <w:jc w:val="center"/>
      </w:pPr>
      <w:r>
        <w:rPr>
          <w:b/>
          <w:bCs/>
          <w:i/>
          <w:iCs/>
          <w:color w:val="1F3864"/>
          <w:sz w:val="30"/>
          <w:szCs w:val="30"/>
        </w:rPr>
        <w:t xml:space="preserve">θ̂</w:t>
      </w:r>
      <w:r>
        <w:rPr>
          <w:b w:val="false"/>
          <w:bCs w:val="false"/>
          <w:i w:val="false"/>
          <w:iCs w:val="false"/>
          <w:color w:val="1F3864"/>
          <w:sz w:val="28"/>
          <w:szCs w:val="28"/>
        </w:rPr>
        <w:t xml:space="preserve"> = </w:t>
      </w:r>
      <w:r>
        <w:rPr>
          <w:b w:val="false"/>
          <w:bCs w:val="false"/>
          <w:i w:val="false"/>
          <w:iCs w:val="false"/>
          <w:color w:val="1F3864"/>
          <w:sz w:val="30"/>
          <w:szCs w:val="30"/>
        </w:rPr>
        <w:t xml:space="preserve">Σ</w:t>
      </w:r>
      <w:r>
        <w:rPr>
          <w:b w:val="false"/>
          <w:bCs w:val="false"/>
          <w:i/>
          <w:iCs/>
          <w:color w:val="1F3864"/>
          <w:sz w:val="18"/>
          <w:szCs w:val="18"/>
        </w:rPr>
        <w:t xml:space="preserve">ᵢ₌₁..k</w:t>
      </w:r>
      <w:r>
        <w:rPr>
          <w:b w:val="false"/>
          <w:bCs w:val="false"/>
          <w:i w:val="false"/>
          <w:iCs w:val="false"/>
          <w:color w:val="1F3864"/>
          <w:sz w:val="28"/>
          <w:szCs w:val="28"/>
        </w:rPr>
        <w:t xml:space="preserve"> ( </w:t>
      </w:r>
      <w:r>
        <w:rPr>
          <w:b w:val="false"/>
          <w:bCs w:val="false"/>
          <w:i/>
          <w:iCs/>
          <w:color w:val="1F3864"/>
          <w:sz w:val="26"/>
          <w:szCs w:val="26"/>
        </w:rPr>
        <w:t xml:space="preserve">wᵢ · θᵢ</w:t>
      </w:r>
      <w:r>
        <w:rPr>
          <w:b w:val="false"/>
          <w:bCs w:val="false"/>
          <w:i w:val="false"/>
          <w:iCs w:val="false"/>
          <w:color w:val="1F3864"/>
          <w:sz w:val="28"/>
          <w:szCs w:val="28"/>
        </w:rPr>
        <w:t xml:space="preserve"> ) ÷ </w:t>
      </w:r>
      <w:r>
        <w:rPr>
          <w:b w:val="false"/>
          <w:bCs w:val="false"/>
          <w:i w:val="false"/>
          <w:iCs w:val="false"/>
          <w:color w:val="1F3864"/>
          <w:sz w:val="30"/>
          <w:szCs w:val="30"/>
        </w:rPr>
        <w:t xml:space="preserve">Σ</w:t>
      </w:r>
      <w:r>
        <w:rPr>
          <w:b w:val="false"/>
          <w:bCs w:val="false"/>
          <w:i/>
          <w:iCs/>
          <w:color w:val="1F3864"/>
          <w:sz w:val="18"/>
          <w:szCs w:val="18"/>
        </w:rPr>
        <w:t xml:space="preserve">ᵢ₌₁..k</w:t>
      </w:r>
      <w:r>
        <w:rPr>
          <w:b w:val="false"/>
          <w:bCs w:val="false"/>
          <w:i w:val="false"/>
          <w:iCs w:val="false"/>
          <w:color w:val="1F3864"/>
          <w:sz w:val="28"/>
          <w:szCs w:val="28"/>
        </w:rPr>
        <w:t xml:space="preserve"> </w:t>
      </w:r>
      <w:r>
        <w:rPr>
          <w:b w:val="false"/>
          <w:bCs w:val="false"/>
          <w:i/>
          <w:iCs/>
          <w:color w:val="1F3864"/>
          <w:sz w:val="26"/>
          <w:szCs w:val="26"/>
        </w:rPr>
        <w:t xml:space="preserve">wᵢ</w:t>
      </w:r>
    </w:p>
    <w:p>
      <w:pPr>
        <w:spacing w:after="240"/>
        <w:jc w:val="center"/>
      </w:pPr>
      <w:r>
        <w:rPr>
          <w:b/>
          <w:bCs/>
          <w:i/>
          <w:iCs/>
          <w:color w:val="808080"/>
          <w:sz w:val="18"/>
          <w:szCs w:val="18"/>
        </w:rPr>
        <w:t xml:space="preserve">Ecuación 4. </w:t>
      </w:r>
      <w:r>
        <w:rPr>
          <w:i/>
          <w:iCs/>
          <w:color w:val="808080"/>
          <w:sz w:val="18"/>
          <w:szCs w:val="18"/>
        </w:rPr>
        <w:t xml:space="preserve">Estimador agrupado de efectos aleatorios; wᵢ es el peso del estudio i (inverso de su varianza más la varianza entre estudios).</w:t>
      </w:r>
    </w:p>
    <w:p>
      <w:pPr>
        <w:spacing w:after="120" w:before="200"/>
      </w:pPr>
      <w:r>
        <w:rPr>
          <w:b/>
          <w:bCs/>
          <w:color w:val="2E74B5"/>
          <w:sz w:val="22"/>
          <w:szCs w:val="22"/>
        </w:rPr>
        <w:t xml:space="preserve">1.39  Resultados Principales</w:t>
      </w:r>
    </w:p>
    <w:p>
      <w:pPr>
        <w:spacing w:after="120" w:line="320"/>
        <w:jc w:val="both"/>
      </w:pPr>
      <w:r>
        <w:rPr>
          <w:i/>
          <w:iCs/>
          <w:color w:val="1F3864"/>
          <w:sz w:val="22"/>
          <w:szCs w:val="22"/>
        </w:rPr>
        <w:t xml:space="preserve">«Random Forest fue el algoritmo más frecuente (n=9 estudios), seguido por Adaboost (n=4), XGBoost (n=3) y SVM (n=3). El AUC promedio ponderado por método mostró que Random Forest y XGBoost lideran con AUC ≈ 0.80-0.85. La heterogeneidad entre estudios fue alta (I² &gt; 75 %), reflejando diferencias en cohortes, definición de ADE y splits de validación. MIMIC-IV emergió como dataset de validación frecuente en estudios recientes.»</w:t>
      </w:r>
    </w:p>
    <w:p>
      <w:pPr>
        <w:spacing w:after="120" w:before="200"/>
      </w:pPr>
      <w:r>
        <w:rPr>
          <w:b/>
          <w:bCs/>
          <w:color w:val="2E74B5"/>
          <w:sz w:val="22"/>
          <w:szCs w:val="22"/>
        </w:rPr>
        <w:t xml:space="preserve">1.40  Conclusiones</w:t>
      </w:r>
    </w:p>
    <w:p>
      <w:pPr>
        <w:spacing w:after="120" w:line="320"/>
        <w:jc w:val="both"/>
      </w:pPr>
      <w:r>
        <w:rPr>
          <w:i/>
          <w:iCs/>
          <w:color w:val="1F3864"/>
          <w:sz w:val="22"/>
          <w:szCs w:val="22"/>
        </w:rPr>
        <w:t xml:space="preserve">«ML supera consistentemente a los métodos estadísticos tradicionales en predicción de ADE, pero la heterogeneidad entre estudios limita la generalización directa. Se recomienda estandarización de definiciones, cohortes y métricas. Se identifica como brecha la falta de estudios prospectivos.»</w:t>
      </w:r>
    </w:p>
    <w:p>
      <w:pPr>
        <w:spacing w:after="120" w:before="200"/>
      </w:pPr>
      <w:r>
        <w:rPr>
          <w:b/>
          <w:bCs/>
          <w:color w:val="2E74B5"/>
          <w:sz w:val="22"/>
          <w:szCs w:val="22"/>
        </w:rPr>
        <w:t xml:space="preserve">1.41  Crítica Personal</w:t>
      </w:r>
    </w:p>
    <w:p>
      <w:pPr>
        <w:spacing w:after="120" w:line="320"/>
        <w:jc w:val="both"/>
      </w:pPr>
      <w:r>
        <w:rPr>
          <w:b w:val="false"/>
          <w:bCs w:val="false"/>
          <w:i w:val="false"/>
          <w:iCs w:val="false"/>
          <w:sz w:val="22"/>
          <w:szCs w:val="22"/>
        </w:rPr>
        <w:t xml:space="preserve">Provee la justificación cuantitativa para incluir Random Forest y XGBoost como modelos de comparación en la fase tabular del flujo de procesamiento (pipeline) de la tesis (cuando se modelan las variables proxy de las dimensiones GEMSES). La principal limitación es que se centra en datos estructurados (variables tabulares de EHR) y no aborda notas clínicas no estructuradas, espacio donde la tesis se diferencia. La tesis combina ambos mundos: NLP sobre notas (Etapa 1) + clasificación tabular sobre proxies (Etapa 2).</w:t>
      </w:r>
    </w:p>
    <w:p>
      <w:pPr>
        <w:spacing w:after="120" w:before="200"/>
      </w:pPr>
      <w:r>
        <w:rPr>
          <w:b/>
          <w:bCs/>
          <w:color w:val="2E74B5"/>
          <w:sz w:val="22"/>
          <w:szCs w:val="22"/>
        </w:rPr>
        <w:t xml:space="preserve">1.42  Palabras Claves</w:t>
      </w:r>
    </w:p>
    <w:p>
      <w:pPr>
        <w:spacing w:after="120" w:line="320"/>
        <w:jc w:val="both"/>
      </w:pPr>
      <w:r>
        <w:rPr>
          <w:b w:val="false"/>
          <w:bCs w:val="false"/>
          <w:i w:val="false"/>
          <w:iCs w:val="false"/>
          <w:sz w:val="22"/>
          <w:szCs w:val="22"/>
        </w:rPr>
        <w:t xml:space="preserve">Adverse drug events, machine learning, electronic health records, meta-analysis, Random Forest, XGBoost, AUC.</w:t>
      </w:r>
    </w:p>
    <w:p>
      <w:pPr>
        <w:pageBreakBefore/>
        <w:spacing w:after="60" w:before="360"/>
      </w:pPr>
      <w:r>
        <w:rPr>
          <w:b/>
          <w:bCs/>
          <w:color w:val="1F3864"/>
          <w:sz w:val="22"/>
          <w:szCs w:val="22"/>
        </w:rPr>
        <w:t xml:space="preserve">Artículo [8]</w:t>
      </w:r>
    </w:p>
    <w:p>
      <w:pPr>
        <w:spacing w:after="60"/>
      </w:pPr>
      <w:r>
        <w:rPr>
          <w:b/>
          <w:bCs/>
          <w:sz w:val="22"/>
          <w:szCs w:val="22"/>
        </w:rPr>
        <w:t xml:space="preserve">Title (EN):  </w:t>
      </w:r>
      <w:r>
        <w:rPr>
          <w:i/>
          <w:iCs/>
          <w:sz w:val="22"/>
          <w:szCs w:val="22"/>
        </w:rPr>
        <w:t xml:space="preserve">Improving the Prognostic Evaluation Precision of Hospital Outcomes for Heart Failure Using Admission Notes and Clinical Tabular Data: Multimodal Deep Learning Model</w:t>
      </w:r>
    </w:p>
    <w:p>
      <w:pPr>
        <w:spacing w:after="120"/>
      </w:pPr>
      <w:r>
        <w:rPr>
          <w:b/>
          <w:bCs/>
          <w:sz w:val="22"/>
          <w:szCs w:val="22"/>
        </w:rPr>
        <w:t xml:space="preserve">Título (ES):  </w:t>
      </w:r>
      <w:r>
        <w:rPr>
          <w:i/>
          <w:iCs/>
          <w:sz w:val="22"/>
          <w:szCs w:val="22"/>
        </w:rPr>
        <w:t xml:space="preserve">Mejora de la precisión en la evaluación pronóstica de outcomes hospitalarios en insuficiencia cardiaca mediante notas de admisión y datos clínicos tabulares: modelo multimodal de aprendizaje profundo</w:t>
      </w:r>
    </w:p>
    <w:p>
      <w:pPr>
        <w:spacing w:after="60" w:before="120"/>
      </w:pPr>
      <w:r>
        <w:rPr>
          <w:b/>
          <w:bCs/>
          <w:sz w:val="22"/>
          <w:szCs w:val="22"/>
        </w:rPr>
        <w:t xml:space="preserve">Autor(es):</w:t>
      </w:r>
    </w:p>
    <w:p>
      <w:pPr>
        <w:pStyle w:val="ListParagraph"/>
        <w:numPr>
          <w:ilvl w:val="0"/>
          <w:numId w:val="2"/>
        </w:numPr>
        <w:spacing w:after="60" w:line="300"/>
      </w:pPr>
      <w:r>
        <w:rPr>
          <w:sz w:val="22"/>
          <w:szCs w:val="22"/>
        </w:rPr>
        <w:t xml:space="preserve">Liu Xinyu</w:t>
      </w:r>
    </w:p>
    <w:p>
      <w:pPr>
        <w:pStyle w:val="ListParagraph"/>
        <w:numPr>
          <w:ilvl w:val="0"/>
          <w:numId w:val="2"/>
        </w:numPr>
        <w:spacing w:after="60" w:line="300"/>
      </w:pPr>
      <w:r>
        <w:rPr>
          <w:sz w:val="22"/>
          <w:szCs w:val="22"/>
        </w:rPr>
        <w:t xml:space="preserve">et al.</w:t>
      </w:r>
    </w:p>
    <w:p>
      <w:pPr>
        <w:spacing w:after="60" w:before="120"/>
      </w:pPr>
      <w:r>
        <w:rPr>
          <w:b/>
          <w:bCs/>
          <w:sz w:val="22"/>
          <w:szCs w:val="22"/>
        </w:rPr>
        <w:t xml:space="preserve">Fuente:</w:t>
      </w:r>
    </w:p>
    <w:p>
      <w:pPr>
        <w:spacing w:after="120" w:line="320"/>
        <w:jc w:val="both"/>
      </w:pPr>
      <w:r>
        <w:rPr>
          <w:b w:val="false"/>
          <w:bCs w:val="false"/>
          <w:i w:val="false"/>
          <w:iCs w:val="false"/>
          <w:sz w:val="22"/>
          <w:szCs w:val="22"/>
        </w:rPr>
        <w:t xml:space="preserve">Journal of Medical Internet Research, vol. 26, art. e54363</w:t>
      </w:r>
    </w:p>
    <w:p>
      <w:pPr>
        <w:spacing w:after="120" w:line="320"/>
        <w:jc w:val="both"/>
      </w:pPr>
      <w:r>
        <w:rPr>
          <w:b w:val="false"/>
          <w:bCs w:val="false"/>
          <w:i w:val="false"/>
          <w:iCs w:val="false"/>
          <w:sz w:val="22"/>
          <w:szCs w:val="22"/>
        </w:rPr>
        <w:t xml:space="preserve">Año de publicación: 2024</w:t>
      </w:r>
    </w:p>
    <w:p>
      <w:pPr>
        <w:spacing w:after="60"/>
      </w:pPr>
      <w:r>
        <w:rPr>
          <w:b/>
          <w:bCs/>
          <w:sz w:val="20"/>
          <w:szCs w:val="20"/>
        </w:rPr>
        <w:t xml:space="preserve">DOI:  </w:t>
      </w:r>
      <w:r>
        <w:rPr>
          <w:rFonts w:ascii="Consolas" w:cs="Consolas" w:eastAsia="Consolas" w:hAnsi="Consolas"/>
          <w:sz w:val="20"/>
          <w:szCs w:val="20"/>
        </w:rPr>
        <w:t xml:space="preserve">10.2196/54363</w:t>
      </w:r>
    </w:p>
    <w:p>
      <w:pPr>
        <w:spacing w:after="60"/>
      </w:pPr>
      <w:r>
        <w:rPr>
          <w:b/>
          <w:bCs/>
          <w:sz w:val="20"/>
          <w:szCs w:val="20"/>
        </w:rPr>
        <w:t xml:space="preserve">Enlace al artículo:  </w:t>
      </w:r>
      <w:hyperlink w:history="1" r:id="rIdsyw0ico0rrhwpw-mmzvhi">
        <w:r>
          <w:rPr>
            <w:rStyle w:val="Hyperlink"/>
            <w:color w:val="2E74B5"/>
            <w:sz w:val="18"/>
            <w:szCs w:val="18"/>
            <w:u w:val="single"/>
          </w:rPr>
          <w:t xml:space="preserve">https://www.jmir.org/2024/1/e54363</w:t>
        </w:r>
      </w:hyperlink>
    </w:p>
    <w:p>
      <w:pPr>
        <w:spacing w:after="120" w:before="200"/>
      </w:pPr>
      <w:r>
        <w:rPr>
          <w:b/>
          <w:bCs/>
          <w:color w:val="2E74B5"/>
          <w:sz w:val="22"/>
          <w:szCs w:val="22"/>
        </w:rPr>
        <w:t xml:space="preserve">1.43  Objetivo del artículo</w:t>
      </w:r>
    </w:p>
    <w:p>
      <w:pPr>
        <w:spacing w:after="120" w:line="320"/>
        <w:jc w:val="both"/>
      </w:pPr>
      <w:r>
        <w:rPr>
          <w:i/>
          <w:iCs/>
          <w:color w:val="1F3864"/>
          <w:sz w:val="22"/>
          <w:szCs w:val="22"/>
        </w:rPr>
        <w:t xml:space="preserve">«Los autores diseñan y validan un modelo multimodal de aprendizaje profundo que combina notas clínicas no estructuradas de admisión y datos clínicos tabulares para mejorar la precisión en la evaluación pronóstica de outcomes hospitalarios (mortalidad y complicaciones) en pacientes con insuficiencia cardiaca, utilizando los datasets MIMIC-III y MIMIC-IV.»</w:t>
      </w:r>
    </w:p>
    <w:p>
      <w:pPr>
        <w:spacing w:after="120" w:before="200"/>
      </w:pPr>
      <w:r>
        <w:rPr>
          <w:b/>
          <w:bCs/>
          <w:color w:val="2E74B5"/>
          <w:sz w:val="22"/>
          <w:szCs w:val="22"/>
        </w:rPr>
        <w:t xml:space="preserve">1.44  Metodología</w:t>
      </w:r>
    </w:p>
    <w:p>
      <w:pPr>
        <w:spacing w:after="120" w:line="320"/>
        <w:jc w:val="both"/>
      </w:pPr>
      <w:r>
        <w:rPr>
          <w:i/>
          <w:iCs/>
          <w:color w:val="1F3864"/>
          <w:sz w:val="22"/>
          <w:szCs w:val="22"/>
        </w:rPr>
        <w:t xml:space="preserve">«Modelo multimodal con dos ramas: (i) rama textual basada en transformers (BERT/ClinicalBERT) que procesa las notas de admisión; (ii) rama tabular basada en redes feed-forward que procesa variables estructuradas (signos vitales, laboratorios, comorbilidades). Las representaciones se fusionan mediante atención cruzada para predicción final. Cohortes de pacientes con insuficiencia cardiaca extraídas de MIMIC-III y MIMIC-IV v1.0. Comparación contra modelos unimodales (solo texto, solo tabular). Validación cruzada estratificada y métricas AUC-ROC, AUC-PR, F1.»</w:t>
      </w:r>
    </w:p>
    <w:p>
      <w:pPr>
        <w:spacing w:after="120" w:line="320"/>
        <w:jc w:val="both"/>
      </w:pPr>
      <w:r>
        <w:rPr>
          <w:b w:val="false"/>
          <w:bCs w:val="false"/>
          <w:i w:val="false"/>
          <w:iCs w:val="false"/>
          <w:sz w:val="22"/>
          <w:szCs w:val="22"/>
        </w:rPr>
        <w:t xml:space="preserve">La fusión multimodal por atención produce una representación combinada h_fused a partir de las representaciones textual h_t y tabular h_x, ponderadas por un coeficiente α aprendido durante el entrenamiento.</w:t>
      </w:r>
    </w:p>
    <w:p>
      <w:pPr>
        <w:pBdr>
          <w:top w:val="single" w:color="1F3864" w:sz="6" w:space="4"/>
          <w:bottom w:val="single" w:color="1F3864" w:sz="6" w:space="4"/>
        </w:pBdr>
        <w:shd w:fill="F8F8FB" w:val="clear"/>
        <w:spacing w:after="200" w:before="200"/>
        <w:jc w:val="center"/>
      </w:pPr>
      <w:r>
        <w:rPr>
          <w:b/>
          <w:bCs/>
          <w:i/>
          <w:iCs/>
          <w:color w:val="1F3864"/>
          <w:sz w:val="28"/>
          <w:szCs w:val="28"/>
        </w:rPr>
        <w:t xml:space="preserve">h</w:t>
      </w:r>
      <w:r>
        <w:rPr>
          <w:b w:val="false"/>
          <w:bCs w:val="false"/>
          <w:i/>
          <w:iCs/>
          <w:color w:val="1F3864"/>
          <w:sz w:val="18"/>
          <w:szCs w:val="18"/>
        </w:rPr>
        <w:t xml:space="preserve">fused</w:t>
      </w:r>
      <w:r>
        <w:rPr>
          <w:b w:val="false"/>
          <w:bCs w:val="false"/>
          <w:i w:val="false"/>
          <w:iCs w:val="false"/>
          <w:color w:val="1F3864"/>
          <w:sz w:val="28"/>
          <w:szCs w:val="28"/>
        </w:rPr>
        <w:t xml:space="preserve"> = α · </w:t>
      </w:r>
      <w:r>
        <w:rPr>
          <w:b/>
          <w:bCs/>
          <w:i/>
          <w:iCs/>
          <w:color w:val="1F3864"/>
          <w:sz w:val="28"/>
          <w:szCs w:val="28"/>
        </w:rPr>
        <w:t xml:space="preserve">h</w:t>
      </w:r>
      <w:r>
        <w:rPr>
          <w:b w:val="false"/>
          <w:bCs w:val="false"/>
          <w:i/>
          <w:iCs/>
          <w:color w:val="1F3864"/>
          <w:sz w:val="18"/>
          <w:szCs w:val="18"/>
        </w:rPr>
        <w:t xml:space="preserve">t</w:t>
      </w:r>
      <w:r>
        <w:rPr>
          <w:b w:val="false"/>
          <w:bCs w:val="false"/>
          <w:i w:val="false"/>
          <w:iCs w:val="false"/>
          <w:color w:val="1F3864"/>
          <w:sz w:val="28"/>
          <w:szCs w:val="28"/>
        </w:rPr>
        <w:t xml:space="preserve"> + (1 − α) · </w:t>
      </w:r>
      <w:r>
        <w:rPr>
          <w:b/>
          <w:bCs/>
          <w:i/>
          <w:iCs/>
          <w:color w:val="1F3864"/>
          <w:sz w:val="28"/>
          <w:szCs w:val="28"/>
        </w:rPr>
        <w:t xml:space="preserve">h</w:t>
      </w:r>
      <w:r>
        <w:rPr>
          <w:b w:val="false"/>
          <w:bCs w:val="false"/>
          <w:i/>
          <w:iCs/>
          <w:color w:val="1F3864"/>
          <w:sz w:val="18"/>
          <w:szCs w:val="18"/>
        </w:rPr>
        <w:t xml:space="preserve">x</w:t>
      </w:r>
      <w:r>
        <w:rPr>
          <w:b w:val="false"/>
          <w:bCs w:val="false"/>
          <w:i w:val="false"/>
          <w:iCs w:val="false"/>
          <w:color w:val="1F3864"/>
          <w:sz w:val="24"/>
          <w:szCs w:val="24"/>
        </w:rPr>
        <w:t xml:space="preserve">,  α ∈ [0, 1]</w:t>
      </w:r>
    </w:p>
    <w:p>
      <w:pPr>
        <w:spacing w:after="240"/>
        <w:jc w:val="center"/>
      </w:pPr>
      <w:r>
        <w:rPr>
          <w:b/>
          <w:bCs/>
          <w:i/>
          <w:iCs/>
          <w:color w:val="808080"/>
          <w:sz w:val="18"/>
          <w:szCs w:val="18"/>
        </w:rPr>
        <w:t xml:space="preserve">Ecuación 5. </w:t>
      </w:r>
      <w:r>
        <w:rPr>
          <w:i/>
          <w:iCs/>
          <w:color w:val="808080"/>
          <w:sz w:val="18"/>
          <w:szCs w:val="18"/>
        </w:rPr>
        <w:t xml:space="preserve">Fusión multimodal por atención; α se aprende durante el entrenamiento end-to-end.</w:t>
      </w:r>
    </w:p>
    <w:p>
      <w:pPr>
        <w:spacing w:after="120" w:before="200"/>
      </w:pPr>
      <w:r>
        <w:rPr>
          <w:b/>
          <w:bCs/>
          <w:color w:val="2E74B5"/>
          <w:sz w:val="22"/>
          <w:szCs w:val="22"/>
        </w:rPr>
        <w:t xml:space="preserve">1.45  Resultados Principales</w:t>
      </w:r>
    </w:p>
    <w:p>
      <w:pPr>
        <w:spacing w:after="120" w:line="320"/>
        <w:jc w:val="both"/>
      </w:pPr>
      <w:r>
        <w:rPr>
          <w:i/>
          <w:iCs/>
          <w:color w:val="1F3864"/>
          <w:sz w:val="22"/>
          <w:szCs w:val="22"/>
        </w:rPr>
        <w:t xml:space="preserve">«El modelo multimodal superó significativamente a los modelos unimodales en AUC-ROC para predicción de mortalidad intrahospitalaria. La fusión de notas + tabular capturó información complementaria: las notas aportan contexto narrativo y matices clínicos, mientras los datos tabulares aportan magnitudes cuantitativas. Los autores demuestran transferibilidad entre MIMIC-III y MIMIC-IV.»</w:t>
      </w:r>
    </w:p>
    <w:p>
      <w:pPr>
        <w:spacing w:after="120" w:before="200"/>
      </w:pPr>
      <w:r>
        <w:rPr>
          <w:b/>
          <w:bCs/>
          <w:color w:val="2E74B5"/>
          <w:sz w:val="22"/>
          <w:szCs w:val="22"/>
        </w:rPr>
        <w:t xml:space="preserve">1.46  Conclusiones</w:t>
      </w:r>
    </w:p>
    <w:p>
      <w:pPr>
        <w:spacing w:after="120" w:line="320"/>
        <w:jc w:val="both"/>
      </w:pPr>
      <w:r>
        <w:rPr>
          <w:i/>
          <w:iCs/>
          <w:color w:val="1F3864"/>
          <w:sz w:val="22"/>
          <w:szCs w:val="22"/>
        </w:rPr>
        <w:t xml:space="preserve">«La integración multimodal de notas clínicas y datos tabulares mejora sustancialmente la evaluación pronóstica respecto a enfoques unimodales. Se recomienda extender el enfoque a otras condiciones clínicas y a sistemas hospitalarios distintos, así como explorar fusión jerárquica y atención multimodal más sofisticada.»</w:t>
      </w:r>
    </w:p>
    <w:p>
      <w:pPr>
        <w:spacing w:after="120" w:before="200"/>
      </w:pPr>
      <w:r>
        <w:rPr>
          <w:b/>
          <w:bCs/>
          <w:color w:val="2E74B5"/>
          <w:sz w:val="22"/>
          <w:szCs w:val="22"/>
        </w:rPr>
        <w:t xml:space="preserve">1.47  Crítica Personal</w:t>
      </w:r>
    </w:p>
    <w:p>
      <w:pPr>
        <w:spacing w:after="120" w:line="320"/>
        <w:jc w:val="both"/>
      </w:pPr>
      <w:r>
        <w:rPr>
          <w:b w:val="false"/>
          <w:bCs w:val="false"/>
          <w:i w:val="false"/>
          <w:iCs w:val="false"/>
          <w:sz w:val="22"/>
          <w:szCs w:val="22"/>
        </w:rPr>
        <w:t xml:space="preserve">Es el antecedente metodológico más relevante para la arquitectura de dos etapas de la tesis. Demuestra empíricamente que combinar NLP sobre notas + ML sobre tabular genera ganancias significativas, justificación técnica directa para el flujo de procesamiento (pipeline) propuesto. La principal limitación es que se centra solo en insuficiencia cardiaca, no en eventos adversos en general; sin embargo, la arquitectura es transferible a la tarea de detección y priorización de eventos adversos múltiples. La tesis extiende este enfoque al añadir la capa de operacionalización de la Matriz de Priorización GEMSES sobre las salidas multimodales.</w:t>
      </w:r>
    </w:p>
    <w:p>
      <w:pPr>
        <w:spacing w:after="120" w:before="200"/>
      </w:pPr>
      <w:r>
        <w:rPr>
          <w:b/>
          <w:bCs/>
          <w:color w:val="2E74B5"/>
          <w:sz w:val="22"/>
          <w:szCs w:val="22"/>
        </w:rPr>
        <w:t xml:space="preserve">1.48  Palabras Claves</w:t>
      </w:r>
    </w:p>
    <w:p>
      <w:pPr>
        <w:spacing w:after="120" w:line="320"/>
        <w:jc w:val="both"/>
      </w:pPr>
      <w:r>
        <w:rPr>
          <w:b w:val="false"/>
          <w:bCs w:val="false"/>
          <w:i w:val="false"/>
          <w:iCs w:val="false"/>
          <w:sz w:val="22"/>
          <w:szCs w:val="22"/>
        </w:rPr>
        <w:t xml:space="preserve">Multimodal deep learning, MIMIC-III, MIMIC-IV, heart failure, clinical notes, tabular data, prognostic evaluation, ClinicalBERT.</w:t>
      </w:r>
    </w:p>
    <w:p>
      <w:pPr>
        <w:pageBreakBefore/>
        <w:spacing w:after="60" w:before="360"/>
      </w:pPr>
      <w:r>
        <w:rPr>
          <w:b/>
          <w:bCs/>
          <w:color w:val="1F3864"/>
          <w:sz w:val="22"/>
          <w:szCs w:val="22"/>
        </w:rPr>
        <w:t xml:space="preserve">Artículo [9]</w:t>
      </w:r>
    </w:p>
    <w:p>
      <w:pPr>
        <w:spacing w:after="60"/>
      </w:pPr>
      <w:r>
        <w:rPr>
          <w:b/>
          <w:bCs/>
          <w:sz w:val="22"/>
          <w:szCs w:val="22"/>
        </w:rPr>
        <w:t xml:space="preserve">Title (EN):  </w:t>
      </w:r>
      <w:r>
        <w:rPr>
          <w:i/>
          <w:iCs/>
          <w:sz w:val="22"/>
          <w:szCs w:val="22"/>
        </w:rPr>
        <w:t xml:space="preserve">Overview of Failure Mode and Effects Analysis (FMEA): A Patient Safety Tool</w:t>
      </w:r>
    </w:p>
    <w:p>
      <w:pPr>
        <w:spacing w:after="120"/>
      </w:pPr>
      <w:r>
        <w:rPr>
          <w:b/>
          <w:bCs/>
          <w:sz w:val="22"/>
          <w:szCs w:val="22"/>
        </w:rPr>
        <w:t xml:space="preserve">Título (ES):  </w:t>
      </w:r>
      <w:r>
        <w:rPr>
          <w:i/>
          <w:iCs/>
          <w:sz w:val="22"/>
          <w:szCs w:val="22"/>
        </w:rPr>
        <w:t xml:space="preserve">Panorama del análisis de modos de falla y efectos (FMEA): una herramienta para la seguridad del paciente</w:t>
      </w:r>
    </w:p>
    <w:p>
      <w:pPr>
        <w:spacing w:after="60" w:before="120"/>
      </w:pPr>
      <w:r>
        <w:rPr>
          <w:b/>
          <w:bCs/>
          <w:sz w:val="22"/>
          <w:szCs w:val="22"/>
        </w:rPr>
        <w:t xml:space="preserve">Autor(es):</w:t>
      </w:r>
    </w:p>
    <w:p>
      <w:pPr>
        <w:pStyle w:val="ListParagraph"/>
        <w:numPr>
          <w:ilvl w:val="0"/>
          <w:numId w:val="2"/>
        </w:numPr>
        <w:spacing w:after="60" w:line="300"/>
      </w:pPr>
      <w:r>
        <w:rPr>
          <w:sz w:val="22"/>
          <w:szCs w:val="22"/>
        </w:rPr>
        <w:t xml:space="preserve">Hu-Chen Liu</w:t>
      </w:r>
    </w:p>
    <w:p>
      <w:pPr>
        <w:pStyle w:val="ListParagraph"/>
        <w:numPr>
          <w:ilvl w:val="0"/>
          <w:numId w:val="2"/>
        </w:numPr>
        <w:spacing w:after="60" w:line="300"/>
      </w:pPr>
      <w:r>
        <w:rPr>
          <w:sz w:val="22"/>
          <w:szCs w:val="22"/>
        </w:rPr>
        <w:t xml:space="preserve">Lu-Jing Zhang</w:t>
      </w:r>
    </w:p>
    <w:p>
      <w:pPr>
        <w:pStyle w:val="ListParagraph"/>
        <w:numPr>
          <w:ilvl w:val="0"/>
          <w:numId w:val="2"/>
        </w:numPr>
        <w:spacing w:after="60" w:line="300"/>
      </w:pPr>
      <w:r>
        <w:rPr>
          <w:sz w:val="22"/>
          <w:szCs w:val="22"/>
        </w:rPr>
        <w:t xml:space="preserve">Yi-Jie Ping</w:t>
      </w:r>
    </w:p>
    <w:p>
      <w:pPr>
        <w:pStyle w:val="ListParagraph"/>
        <w:numPr>
          <w:ilvl w:val="0"/>
          <w:numId w:val="2"/>
        </w:numPr>
        <w:spacing w:after="60" w:line="300"/>
      </w:pPr>
      <w:r>
        <w:rPr>
          <w:sz w:val="22"/>
          <w:szCs w:val="22"/>
        </w:rPr>
        <w:t xml:space="preserve">Liang Wang</w:t>
      </w:r>
    </w:p>
    <w:p>
      <w:pPr>
        <w:spacing w:after="60" w:before="120"/>
      </w:pPr>
      <w:r>
        <w:rPr>
          <w:b/>
          <w:bCs/>
          <w:sz w:val="22"/>
          <w:szCs w:val="22"/>
        </w:rPr>
        <w:t xml:space="preserve">Fuente:</w:t>
      </w:r>
    </w:p>
    <w:p>
      <w:pPr>
        <w:spacing w:after="120" w:line="320"/>
        <w:jc w:val="both"/>
      </w:pPr>
      <w:r>
        <w:rPr>
          <w:b w:val="false"/>
          <w:bCs w:val="false"/>
          <w:i w:val="false"/>
          <w:iCs w:val="false"/>
          <w:sz w:val="22"/>
          <w:szCs w:val="22"/>
        </w:rPr>
        <w:t xml:space="preserve">Global Journal on Quality and Safety in Healthcare</w:t>
      </w:r>
    </w:p>
    <w:p>
      <w:pPr>
        <w:spacing w:after="120" w:line="320"/>
        <w:jc w:val="both"/>
      </w:pPr>
      <w:r>
        <w:rPr>
          <w:b w:val="false"/>
          <w:bCs w:val="false"/>
          <w:i w:val="false"/>
          <w:iCs w:val="false"/>
          <w:sz w:val="22"/>
          <w:szCs w:val="22"/>
        </w:rPr>
        <w:t xml:space="preserve">Año de publicación: 2023</w:t>
      </w:r>
    </w:p>
    <w:p>
      <w:pPr>
        <w:spacing w:after="60"/>
      </w:pPr>
      <w:r>
        <w:rPr>
          <w:b/>
          <w:bCs/>
          <w:sz w:val="20"/>
          <w:szCs w:val="20"/>
        </w:rPr>
        <w:t xml:space="preserve">DOI:  </w:t>
      </w:r>
      <w:r>
        <w:rPr>
          <w:rFonts w:ascii="Consolas" w:cs="Consolas" w:eastAsia="Consolas" w:hAnsi="Consolas"/>
          <w:sz w:val="20"/>
          <w:szCs w:val="20"/>
        </w:rPr>
        <w:t xml:space="preserve">10.36401/JQSH-22-12</w:t>
      </w:r>
    </w:p>
    <w:p>
      <w:pPr>
        <w:spacing w:after="60"/>
      </w:pPr>
      <w:r>
        <w:rPr>
          <w:b/>
          <w:bCs/>
          <w:sz w:val="20"/>
          <w:szCs w:val="20"/>
        </w:rPr>
        <w:t xml:space="preserve">Enlace al artículo:  </w:t>
      </w:r>
      <w:hyperlink w:history="1" r:id="rIdzj5semzpihw8tzb420qq9">
        <w:r>
          <w:rPr>
            <w:rStyle w:val="Hyperlink"/>
            <w:color w:val="2E74B5"/>
            <w:sz w:val="18"/>
            <w:szCs w:val="18"/>
            <w:u w:val="single"/>
          </w:rPr>
          <w:t xml:space="preserve">https://pmc.ncbi.nlm.nih.gov/articles/PMC10229026/</w:t>
        </w:r>
      </w:hyperlink>
    </w:p>
    <w:p>
      <w:pPr>
        <w:spacing w:after="120" w:before="200"/>
      </w:pPr>
      <w:r>
        <w:rPr>
          <w:b/>
          <w:bCs/>
          <w:color w:val="2E74B5"/>
          <w:sz w:val="22"/>
          <w:szCs w:val="22"/>
        </w:rPr>
        <w:t xml:space="preserve">1.49  Objetivo del artículo</w:t>
      </w:r>
    </w:p>
    <w:p>
      <w:pPr>
        <w:spacing w:after="120" w:line="320"/>
        <w:jc w:val="both"/>
      </w:pPr>
      <w:r>
        <w:rPr>
          <w:i/>
          <w:iCs/>
          <w:color w:val="1F3864"/>
          <w:sz w:val="22"/>
          <w:szCs w:val="22"/>
        </w:rPr>
        <w:t xml:space="preserve">«Los autores ofrecen una visión panorámica del estado del arte de Failure Mode and Effects Analysis (FMEA) aplicado a la seguridad del paciente, incluyendo sus variantes (Healthcare FMEA, Fuzzy FMEA, AHP-FMEA), sus limitaciones metodológicas (subjetividad, heterogeneidad del Risk Priority Number) y las tendencias de integración con técnicas de inteligencia artificial.»</w:t>
      </w:r>
    </w:p>
    <w:p>
      <w:pPr>
        <w:spacing w:after="120" w:before="200"/>
      </w:pPr>
      <w:r>
        <w:rPr>
          <w:b/>
          <w:bCs/>
          <w:color w:val="2E74B5"/>
          <w:sz w:val="22"/>
          <w:szCs w:val="22"/>
        </w:rPr>
        <w:t xml:space="preserve">1.50  Metodología</w:t>
      </w:r>
    </w:p>
    <w:p>
      <w:pPr>
        <w:spacing w:after="120" w:line="320"/>
        <w:jc w:val="both"/>
      </w:pPr>
      <w:r>
        <w:rPr>
          <w:i/>
          <w:iCs/>
          <w:color w:val="1F3864"/>
          <w:sz w:val="22"/>
          <w:szCs w:val="22"/>
        </w:rPr>
        <w:t xml:space="preserve">«Revisión narrativa estructurada. Recopilación de literatura representativa sobre FMEA en salud, organizada en: FMEA convencional con cálculo del Risk Priority Number; Healthcare FMEA y sus adaptaciones para entornos clínicos; Fuzzy FMEA con lógica difusa para incertidumbre lingüística; AHP-FMEA con jerarquía analítica para ponderación; e integraciones con IA (redes neuronales, SVM, sistemas expertos).»</w:t>
      </w:r>
    </w:p>
    <w:p>
      <w:pPr>
        <w:spacing w:after="120" w:line="320"/>
        <w:jc w:val="both"/>
      </w:pPr>
      <w:r>
        <w:rPr>
          <w:b w:val="false"/>
          <w:bCs w:val="false"/>
          <w:i w:val="false"/>
          <w:iCs w:val="false"/>
          <w:sz w:val="22"/>
          <w:szCs w:val="22"/>
        </w:rPr>
        <w:t xml:space="preserve">El cálculo del Risk Priority Number (RPN), núcleo del FMEA convencional, se obtiene como producto multiplicativo de tres factores en escala ordinal 1-10.</w:t>
      </w:r>
    </w:p>
    <w:p>
      <w:pPr>
        <w:pBdr>
          <w:top w:val="single" w:color="1F3864" w:sz="6" w:space="4"/>
          <w:bottom w:val="single" w:color="1F3864" w:sz="6" w:space="4"/>
        </w:pBdr>
        <w:shd w:fill="F8F8FB" w:val="clear"/>
        <w:spacing w:after="200" w:before="200"/>
        <w:jc w:val="center"/>
      </w:pPr>
      <w:r>
        <w:rPr>
          <w:b/>
          <w:bCs/>
          <w:i/>
          <w:iCs/>
          <w:color w:val="1F3864"/>
          <w:sz w:val="30"/>
          <w:szCs w:val="30"/>
        </w:rPr>
        <w:t xml:space="preserve">RPN</w:t>
      </w:r>
      <w:r>
        <w:rPr>
          <w:b w:val="false"/>
          <w:bCs w:val="false"/>
          <w:i w:val="false"/>
          <w:iCs w:val="false"/>
          <w:color w:val="1F3864"/>
          <w:sz w:val="28"/>
          <w:szCs w:val="28"/>
        </w:rPr>
        <w:t xml:space="preserve"> = </w:t>
      </w:r>
      <w:r>
        <w:rPr>
          <w:b/>
          <w:bCs/>
          <w:i/>
          <w:iCs/>
          <w:color w:val="1F3864"/>
          <w:sz w:val="28"/>
          <w:szCs w:val="28"/>
        </w:rPr>
        <w:t xml:space="preserve">S</w:t>
      </w:r>
      <w:r>
        <w:rPr>
          <w:b w:val="false"/>
          <w:bCs w:val="false"/>
          <w:i w:val="false"/>
          <w:iCs w:val="false"/>
          <w:color w:val="1F3864"/>
          <w:sz w:val="28"/>
          <w:szCs w:val="28"/>
        </w:rPr>
        <w:t xml:space="preserve"> × </w:t>
      </w:r>
      <w:r>
        <w:rPr>
          <w:b/>
          <w:bCs/>
          <w:i/>
          <w:iCs/>
          <w:color w:val="1F3864"/>
          <w:sz w:val="28"/>
          <w:szCs w:val="28"/>
        </w:rPr>
        <w:t xml:space="preserve">O</w:t>
      </w:r>
      <w:r>
        <w:rPr>
          <w:b w:val="false"/>
          <w:bCs w:val="false"/>
          <w:i w:val="false"/>
          <w:iCs w:val="false"/>
          <w:color w:val="1F3864"/>
          <w:sz w:val="28"/>
          <w:szCs w:val="28"/>
        </w:rPr>
        <w:t xml:space="preserve"> × </w:t>
      </w:r>
      <w:r>
        <w:rPr>
          <w:b/>
          <w:bCs/>
          <w:i/>
          <w:iCs/>
          <w:color w:val="1F3864"/>
          <w:sz w:val="28"/>
          <w:szCs w:val="28"/>
        </w:rPr>
        <w:t xml:space="preserve">D</w:t>
      </w:r>
    </w:p>
    <w:p>
      <w:pPr>
        <w:spacing w:after="240"/>
        <w:jc w:val="center"/>
      </w:pPr>
      <w:r>
        <w:rPr>
          <w:b/>
          <w:bCs/>
          <w:i/>
          <w:iCs/>
          <w:color w:val="808080"/>
          <w:sz w:val="18"/>
          <w:szCs w:val="18"/>
        </w:rPr>
        <w:t xml:space="preserve">Ecuación 6. </w:t>
      </w:r>
      <w:r>
        <w:rPr>
          <w:i/>
          <w:iCs/>
          <w:color w:val="808080"/>
          <w:sz w:val="18"/>
          <w:szCs w:val="18"/>
        </w:rPr>
        <w:t xml:space="preserve">Risk Priority Number convencional. S = Severity, O = Occurrence, D = Detection, todos en escala 1-10.</w:t>
      </w:r>
    </w:p>
    <w:p>
      <w:pPr>
        <w:spacing w:after="120" w:before="200"/>
      </w:pPr>
      <w:r>
        <w:rPr>
          <w:b/>
          <w:bCs/>
          <w:color w:val="2E74B5"/>
          <w:sz w:val="22"/>
          <w:szCs w:val="22"/>
        </w:rPr>
        <w:t xml:space="preserve">1.51  Resultados Principales</w:t>
      </w:r>
    </w:p>
    <w:p>
      <w:pPr>
        <w:spacing w:after="120" w:line="320"/>
        <w:jc w:val="both"/>
      </w:pPr>
      <w:r>
        <w:rPr>
          <w:i/>
          <w:iCs/>
          <w:color w:val="1F3864"/>
          <w:sz w:val="22"/>
          <w:szCs w:val="22"/>
        </w:rPr>
        <w:t xml:space="preserve">«El FMEA convencional sufre de limitaciones reconocidas: la multiplicación de los tres factores produce RPN heterogéneos no monotónicos; la asignación de scores depende fuertemente del juicio subjetivo; no captura interdependencias entre fallas. Las variantes (Fuzzy, AHP, IA) mejoran sustancialmente la confiabilidad. La tendencia hacia automatización mediante IA es clara y creciente, especialmente en hospitales asiáticos.»</w:t>
      </w:r>
    </w:p>
    <w:p>
      <w:pPr>
        <w:spacing w:after="120" w:before="200"/>
      </w:pPr>
      <w:r>
        <w:rPr>
          <w:b/>
          <w:bCs/>
          <w:color w:val="2E74B5"/>
          <w:sz w:val="22"/>
          <w:szCs w:val="22"/>
        </w:rPr>
        <w:t xml:space="preserve">1.52  Conclusiones</w:t>
      </w:r>
    </w:p>
    <w:p>
      <w:pPr>
        <w:spacing w:after="120" w:line="320"/>
        <w:jc w:val="both"/>
      </w:pPr>
      <w:r>
        <w:rPr>
          <w:i/>
          <w:iCs/>
          <w:color w:val="1F3864"/>
          <w:sz w:val="22"/>
          <w:szCs w:val="22"/>
        </w:rPr>
        <w:t xml:space="preserve">«FMEA seguirá siendo una herramienta central de gestión de calidad sanitaria, pero su evolución hacia integraciones con IA es necesaria para superar las limitaciones del cálculo manual del RPN. Se recomienda que las instituciones adopten variantes híbridas y validen su desempeño en condiciones reales.»</w:t>
      </w:r>
    </w:p>
    <w:p>
      <w:pPr>
        <w:spacing w:after="120" w:before="200"/>
      </w:pPr>
      <w:r>
        <w:rPr>
          <w:b/>
          <w:bCs/>
          <w:color w:val="2E74B5"/>
          <w:sz w:val="22"/>
          <w:szCs w:val="22"/>
        </w:rPr>
        <w:t xml:space="preserve">1.53  Crítica Personal</w:t>
      </w:r>
    </w:p>
    <w:p>
      <w:pPr>
        <w:spacing w:after="120" w:line="320"/>
        <w:jc w:val="both"/>
      </w:pPr>
      <w:r>
        <w:rPr>
          <w:b w:val="false"/>
          <w:bCs w:val="false"/>
          <w:i w:val="false"/>
          <w:iCs w:val="false"/>
          <w:sz w:val="22"/>
          <w:szCs w:val="22"/>
        </w:rPr>
        <w:t xml:space="preserve">Es la cita teórica que ancla el Modelo GEMSES dentro de la familia FMEA y permite presentar la Matriz de Priorización GEMSES como una variante institucional sofisticada de Healthcare FMEA, normada por la Directiva GG-ESSALUD-2021. La diferencia con un Fuzzy FMEA típico es que GEMSES tiene ponderaciones fijas y validadas institucionalmente, no inferencia difusa subjetiva. La principal limitación de Liu et al. es que la revisión es narrativa (no sistemática) y tiene sesgo geográfico hacia literatura asiática; aun así sirve como ancla teórica adecuada.</w:t>
      </w:r>
    </w:p>
    <w:p>
      <w:pPr>
        <w:spacing w:after="120" w:before="200"/>
      </w:pPr>
      <w:r>
        <w:rPr>
          <w:b/>
          <w:bCs/>
          <w:color w:val="2E74B5"/>
          <w:sz w:val="22"/>
          <w:szCs w:val="22"/>
        </w:rPr>
        <w:t xml:space="preserve">1.54  Palabras Claves</w:t>
      </w:r>
    </w:p>
    <w:p>
      <w:pPr>
        <w:spacing w:after="120" w:line="320"/>
        <w:jc w:val="both"/>
      </w:pPr>
      <w:r>
        <w:rPr>
          <w:b w:val="false"/>
          <w:bCs w:val="false"/>
          <w:i w:val="false"/>
          <w:iCs w:val="false"/>
          <w:sz w:val="22"/>
          <w:szCs w:val="22"/>
        </w:rPr>
        <w:t xml:space="preserve">FMEA, Healthcare FMEA, Fuzzy FMEA, Risk Priority Number, RPN, patient safety, risk management.</w:t>
      </w:r>
    </w:p>
    <w:p>
      <w:pPr>
        <w:pageBreakBefore/>
        <w:spacing w:after="60" w:before="360"/>
      </w:pPr>
      <w:r>
        <w:rPr>
          <w:b/>
          <w:bCs/>
          <w:color w:val="1F3864"/>
          <w:sz w:val="22"/>
          <w:szCs w:val="22"/>
        </w:rPr>
        <w:t xml:space="preserve">Artículo [10]</w:t>
      </w:r>
    </w:p>
    <w:p>
      <w:pPr>
        <w:spacing w:after="60"/>
      </w:pPr>
      <w:r>
        <w:rPr>
          <w:b/>
          <w:bCs/>
          <w:sz w:val="22"/>
          <w:szCs w:val="22"/>
        </w:rPr>
        <w:t xml:space="preserve">Title (EN):  </w:t>
      </w:r>
      <w:r>
        <w:rPr>
          <w:i/>
          <w:iCs/>
          <w:sz w:val="22"/>
          <w:szCs w:val="22"/>
        </w:rPr>
        <w:t xml:space="preserve">A novel decision support system for proactive risk management in healthcare based on fuzzy inference, neural network and support vector machine</w:t>
      </w:r>
    </w:p>
    <w:p>
      <w:pPr>
        <w:spacing w:after="120"/>
      </w:pPr>
      <w:r>
        <w:rPr>
          <w:b/>
          <w:bCs/>
          <w:sz w:val="22"/>
          <w:szCs w:val="22"/>
        </w:rPr>
        <w:t xml:space="preserve">Título (ES):  </w:t>
      </w:r>
      <w:r>
        <w:rPr>
          <w:i/>
          <w:iCs/>
          <w:sz w:val="22"/>
          <w:szCs w:val="22"/>
        </w:rPr>
        <w:t xml:space="preserve">Un sistema novedoso de soporte a la decisión para la gestión proactiva del riesgo en salud, basado en inferencia difusa, red neuronal y máquinas de vectores de soporte</w:t>
      </w:r>
    </w:p>
    <w:p>
      <w:pPr>
        <w:spacing w:after="60" w:before="120"/>
      </w:pPr>
      <w:r>
        <w:rPr>
          <w:b/>
          <w:bCs/>
          <w:sz w:val="22"/>
          <w:szCs w:val="22"/>
        </w:rPr>
        <w:t xml:space="preserve">Autor(es):</w:t>
      </w:r>
    </w:p>
    <w:p>
      <w:pPr>
        <w:pStyle w:val="ListParagraph"/>
        <w:numPr>
          <w:ilvl w:val="0"/>
          <w:numId w:val="2"/>
        </w:numPr>
        <w:spacing w:after="60" w:line="300"/>
      </w:pPr>
      <w:r>
        <w:rPr>
          <w:sz w:val="22"/>
          <w:szCs w:val="22"/>
        </w:rPr>
        <w:t xml:space="preserve">Milan Kovačević</w:t>
      </w:r>
    </w:p>
    <w:p>
      <w:pPr>
        <w:pStyle w:val="ListParagraph"/>
        <w:numPr>
          <w:ilvl w:val="0"/>
          <w:numId w:val="2"/>
        </w:numPr>
        <w:spacing w:after="60" w:line="300"/>
      </w:pPr>
      <w:r>
        <w:rPr>
          <w:sz w:val="22"/>
          <w:szCs w:val="22"/>
        </w:rPr>
        <w:t xml:space="preserve">et al.</w:t>
      </w:r>
    </w:p>
    <w:p>
      <w:pPr>
        <w:spacing w:after="60" w:before="120"/>
      </w:pPr>
      <w:r>
        <w:rPr>
          <w:b/>
          <w:bCs/>
          <w:sz w:val="22"/>
          <w:szCs w:val="22"/>
        </w:rPr>
        <w:t xml:space="preserve">Fuente:</w:t>
      </w:r>
    </w:p>
    <w:p>
      <w:pPr>
        <w:spacing w:after="120" w:line="320"/>
        <w:jc w:val="both"/>
      </w:pPr>
      <w:r>
        <w:rPr>
          <w:b w:val="false"/>
          <w:bCs w:val="false"/>
          <w:i w:val="false"/>
          <w:iCs w:val="false"/>
          <w:sz w:val="22"/>
          <w:szCs w:val="22"/>
        </w:rPr>
        <w:t xml:space="preserve">International Journal of Medical Informatics, vol. 187, art. 105443. Elsevier</w:t>
      </w:r>
    </w:p>
    <w:p>
      <w:pPr>
        <w:spacing w:after="120" w:line="320"/>
        <w:jc w:val="both"/>
      </w:pPr>
      <w:r>
        <w:rPr>
          <w:b w:val="false"/>
          <w:bCs w:val="false"/>
          <w:i w:val="false"/>
          <w:iCs w:val="false"/>
          <w:sz w:val="22"/>
          <w:szCs w:val="22"/>
        </w:rPr>
        <w:t xml:space="preserve">Año de publicación: 2024</w:t>
      </w:r>
    </w:p>
    <w:p>
      <w:pPr>
        <w:spacing w:after="60"/>
      </w:pPr>
      <w:r>
        <w:rPr>
          <w:b/>
          <w:bCs/>
          <w:sz w:val="20"/>
          <w:szCs w:val="20"/>
        </w:rPr>
        <w:t xml:space="preserve">DOI:  </w:t>
      </w:r>
      <w:r>
        <w:rPr>
          <w:rFonts w:ascii="Consolas" w:cs="Consolas" w:eastAsia="Consolas" w:hAnsi="Consolas"/>
          <w:sz w:val="20"/>
          <w:szCs w:val="20"/>
        </w:rPr>
        <w:t xml:space="preserve">10.1016/j.ijmedinf.2024.105443</w:t>
      </w:r>
    </w:p>
    <w:p>
      <w:pPr>
        <w:spacing w:after="60"/>
      </w:pPr>
      <w:r>
        <w:rPr>
          <w:b/>
          <w:bCs/>
          <w:sz w:val="20"/>
          <w:szCs w:val="20"/>
        </w:rPr>
        <w:t xml:space="preserve">Enlace al artículo:  </w:t>
      </w:r>
      <w:hyperlink w:history="1" r:id="rIdcisnl3ootn3hznbskwrqz">
        <w:r>
          <w:rPr>
            <w:rStyle w:val="Hyperlink"/>
            <w:color w:val="2E74B5"/>
            <w:sz w:val="18"/>
            <w:szCs w:val="18"/>
            <w:u w:val="single"/>
          </w:rPr>
          <w:t xml:space="preserve">https://www.sciencedirect.com/science/article/abs/pii/S1386505624001059</w:t>
        </w:r>
      </w:hyperlink>
    </w:p>
    <w:p>
      <w:pPr>
        <w:spacing w:after="120" w:before="200"/>
      </w:pPr>
      <w:r>
        <w:rPr>
          <w:b/>
          <w:bCs/>
          <w:color w:val="2E74B5"/>
          <w:sz w:val="22"/>
          <w:szCs w:val="22"/>
        </w:rPr>
        <w:t xml:space="preserve">1.55  Objetivo del artículo</w:t>
      </w:r>
    </w:p>
    <w:p>
      <w:pPr>
        <w:spacing w:after="120" w:line="320"/>
        <w:jc w:val="both"/>
      </w:pPr>
      <w:r>
        <w:rPr>
          <w:i/>
          <w:iCs/>
          <w:color w:val="1F3864"/>
          <w:sz w:val="22"/>
          <w:szCs w:val="22"/>
        </w:rPr>
        <w:t xml:space="preserve">«Los autores proponen y evalúan un sistema de soporte a la decisión clínica que integra tres técnicas de inteligencia artificial (inferencia difusa, redes neuronales artificiales y máquinas de vectores de soporte) para automatizar la priorización proactiva de riesgos en gestión hospitalaria, mejorando la precisión y reduciendo el tiempo respecto al FMEA manual.»</w:t>
      </w:r>
    </w:p>
    <w:p>
      <w:pPr>
        <w:spacing w:after="120" w:before="200"/>
      </w:pPr>
      <w:r>
        <w:rPr>
          <w:b/>
          <w:bCs/>
          <w:color w:val="2E74B5"/>
          <w:sz w:val="22"/>
          <w:szCs w:val="22"/>
        </w:rPr>
        <w:t xml:space="preserve">1.56  Metodología</w:t>
      </w:r>
    </w:p>
    <w:p>
      <w:pPr>
        <w:spacing w:after="120" w:line="320"/>
        <w:jc w:val="both"/>
      </w:pPr>
      <w:r>
        <w:rPr>
          <w:i/>
          <w:iCs/>
          <w:color w:val="1F3864"/>
          <w:sz w:val="22"/>
          <w:szCs w:val="22"/>
        </w:rPr>
        <w:t xml:space="preserve">«Diseño y validación de un Decision Support System híbrido en tres capas: capa de inferencia difusa para manejar incertidumbre lingüística en evaluación de severidad, ocurrencia y detección; capa de red neuronal artificial entrenada para aprender patrones no lineales sobre datos históricos de incidentes; capa de SVM para clasificación final del nivel de riesgo. Validado con datos hospitalarios reales de un hospital terciario, comparando contra FMEA convencional aplicado por expertos.»</w:t>
      </w:r>
    </w:p>
    <w:p>
      <w:pPr>
        <w:spacing w:after="120" w:line="320"/>
        <w:jc w:val="both"/>
      </w:pPr>
      <w:r>
        <w:rPr>
          <w:b w:val="false"/>
          <w:bCs w:val="false"/>
          <w:i w:val="false"/>
          <w:iCs w:val="false"/>
          <w:sz w:val="22"/>
          <w:szCs w:val="22"/>
        </w:rPr>
        <w:t xml:space="preserve">La concordancia entre el sistema y el panel experto se evalúa mediante el coeficiente kappa de Cohen, definido como sigue.</w:t>
      </w:r>
    </w:p>
    <w:p>
      <w:pPr>
        <w:pBdr>
          <w:top w:val="single" w:color="1F3864" w:sz="6" w:space="4"/>
          <w:bottom w:val="single" w:color="1F3864" w:sz="6" w:space="4"/>
        </w:pBdr>
        <w:shd w:fill="F8F8FB" w:val="clear"/>
        <w:spacing w:after="200" w:before="200"/>
        <w:jc w:val="center"/>
      </w:pPr>
      <w:r>
        <w:rPr>
          <w:b/>
          <w:bCs/>
          <w:i/>
          <w:iCs/>
          <w:color w:val="1F3864"/>
          <w:sz w:val="30"/>
          <w:szCs w:val="30"/>
        </w:rPr>
        <w:t xml:space="preserve">κ</w:t>
      </w:r>
      <w:r>
        <w:rPr>
          <w:b w:val="false"/>
          <w:bCs w:val="false"/>
          <w:i w:val="false"/>
          <w:iCs w:val="false"/>
          <w:color w:val="1F3864"/>
          <w:sz w:val="28"/>
          <w:szCs w:val="28"/>
        </w:rPr>
        <w:t xml:space="preserve"> = </w:t>
      </w:r>
      <w:r>
        <w:rPr>
          <w:b w:val="false"/>
          <w:bCs w:val="false"/>
          <w:i w:val="false"/>
          <w:iCs w:val="false"/>
          <w:color w:val="1F3864"/>
          <w:sz w:val="28"/>
          <w:szCs w:val="28"/>
        </w:rPr>
        <w:t xml:space="preserve">(</w:t>
      </w:r>
      <w:r>
        <w:rPr>
          <w:b w:val="false"/>
          <w:bCs w:val="false"/>
          <w:i/>
          <w:iCs/>
          <w:color w:val="1F3864"/>
          <w:sz w:val="26"/>
          <w:szCs w:val="26"/>
        </w:rPr>
        <w:t xml:space="preserve">p₀ − pₑ</w:t>
      </w:r>
      <w:r>
        <w:rPr>
          <w:b w:val="false"/>
          <w:bCs w:val="false"/>
          <w:i w:val="false"/>
          <w:iCs w:val="false"/>
          <w:color w:val="1F3864"/>
          <w:sz w:val="28"/>
          <w:szCs w:val="28"/>
        </w:rPr>
        <w:t xml:space="preserve">)</w:t>
      </w:r>
      <w:r>
        <w:rPr>
          <w:b w:val="false"/>
          <w:bCs w:val="false"/>
          <w:i w:val="false"/>
          <w:iCs w:val="false"/>
          <w:color w:val="1F3864"/>
          <w:sz w:val="28"/>
          <w:szCs w:val="28"/>
        </w:rPr>
        <w:t xml:space="preserve"> ÷ </w:t>
      </w:r>
      <w:r>
        <w:rPr>
          <w:b w:val="false"/>
          <w:bCs w:val="false"/>
          <w:i w:val="false"/>
          <w:iCs w:val="false"/>
          <w:color w:val="1F3864"/>
          <w:sz w:val="28"/>
          <w:szCs w:val="28"/>
        </w:rPr>
        <w:t xml:space="preserve">(</w:t>
      </w:r>
      <w:r>
        <w:rPr>
          <w:b w:val="false"/>
          <w:bCs w:val="false"/>
          <w:i/>
          <w:iCs/>
          <w:color w:val="1F3864"/>
          <w:sz w:val="26"/>
          <w:szCs w:val="26"/>
        </w:rPr>
        <w:t xml:space="preserve">1 − pₑ</w:t>
      </w:r>
      <w:r>
        <w:rPr>
          <w:b w:val="false"/>
          <w:bCs w:val="false"/>
          <w:i w:val="false"/>
          <w:iCs w:val="false"/>
          <w:color w:val="1F3864"/>
          <w:sz w:val="28"/>
          <w:szCs w:val="28"/>
        </w:rPr>
        <w:t xml:space="preserve">)</w:t>
      </w:r>
    </w:p>
    <w:p>
      <w:pPr>
        <w:spacing w:after="240"/>
        <w:jc w:val="center"/>
      </w:pPr>
      <w:r>
        <w:rPr>
          <w:b/>
          <w:bCs/>
          <w:i/>
          <w:iCs/>
          <w:color w:val="808080"/>
          <w:sz w:val="18"/>
          <w:szCs w:val="18"/>
        </w:rPr>
        <w:t xml:space="preserve">Ecuación 7. </w:t>
      </w:r>
      <w:r>
        <w:rPr>
          <w:i/>
          <w:iCs/>
          <w:color w:val="808080"/>
          <w:sz w:val="18"/>
          <w:szCs w:val="18"/>
        </w:rPr>
        <w:t xml:space="preserve">Coeficiente kappa de Cohen. p₀ = acuerdo observado, pₑ = acuerdo esperado por azar.</w:t>
      </w:r>
    </w:p>
    <w:p>
      <w:pPr>
        <w:spacing w:after="120" w:before="200"/>
      </w:pPr>
      <w:r>
        <w:rPr>
          <w:b/>
          <w:bCs/>
          <w:color w:val="2E74B5"/>
          <w:sz w:val="22"/>
          <w:szCs w:val="22"/>
        </w:rPr>
        <w:t xml:space="preserve">1.57  Resultados Principales</w:t>
      </w:r>
    </w:p>
    <w:p>
      <w:pPr>
        <w:spacing w:after="120" w:line="320"/>
        <w:jc w:val="both"/>
      </w:pPr>
      <w:r>
        <w:rPr>
          <w:i/>
          <w:iCs/>
          <w:color w:val="1F3864"/>
          <w:sz w:val="22"/>
          <w:szCs w:val="22"/>
        </w:rPr>
        <w:t xml:space="preserve">«El DSS híbrido obtuvo precisión global superior al FMEA clásico, con reducción del tiempo de evaluación de riesgo de aproximadamente 40 %. La concordancia entre el sistema y el panel experto fue alta (kappa de Cohen &gt; 0.7). La capa de inferencia difusa fue crítica para manejar las descripciones lingüísticas heterogéneas; la red neuronal aportó capacidad de generalización; el SVM proveyó el clasificador final estable.»</w:t>
      </w:r>
    </w:p>
    <w:p>
      <w:pPr>
        <w:spacing w:after="120" w:before="200"/>
      </w:pPr>
      <w:r>
        <w:rPr>
          <w:b/>
          <w:bCs/>
          <w:color w:val="2E74B5"/>
          <w:sz w:val="22"/>
          <w:szCs w:val="22"/>
        </w:rPr>
        <w:t xml:space="preserve">1.58  Conclusiones</w:t>
      </w:r>
    </w:p>
    <w:p>
      <w:pPr>
        <w:spacing w:after="120" w:line="320"/>
        <w:jc w:val="both"/>
      </w:pPr>
      <w:r>
        <w:rPr>
          <w:i/>
          <w:iCs/>
          <w:color w:val="1F3864"/>
          <w:sz w:val="22"/>
          <w:szCs w:val="22"/>
        </w:rPr>
        <w:t xml:space="preserve">«La integración multi-capa de IA es viable y superior al FMEA manual para gestión proactiva de riesgos hospitalarios. Se recomienda validación multicéntrica y publicación abierta del código para reproducibilidad.»</w:t>
      </w:r>
    </w:p>
    <w:p>
      <w:pPr>
        <w:spacing w:after="120" w:before="200"/>
      </w:pPr>
      <w:r>
        <w:rPr>
          <w:b/>
          <w:bCs/>
          <w:color w:val="2E74B5"/>
          <w:sz w:val="22"/>
          <w:szCs w:val="22"/>
        </w:rPr>
        <w:t xml:space="preserve">1.59  Crítica Personal</w:t>
      </w:r>
    </w:p>
    <w:p>
      <w:pPr>
        <w:spacing w:after="120" w:line="320"/>
        <w:jc w:val="both"/>
      </w:pPr>
      <w:r>
        <w:rPr>
          <w:b w:val="false"/>
          <w:bCs w:val="false"/>
          <w:i w:val="false"/>
          <w:iCs w:val="false"/>
          <w:sz w:val="22"/>
          <w:szCs w:val="22"/>
        </w:rPr>
        <w:t xml:space="preserve">Es el antecedente metodológico más relevante para el diseño de la Etapa 2 del flujo de procesamiento (pipeline) de la tesis. Demuestra empíricamente que la priorización automatizada con IA es viable y supera al FMEA clásico. La principal limitación es que la validación se realiza en un solo hospital con datos no públicos, lo que limita la reproducibilidad. La tesis llena este vacío al usar MIMIC-IV (público y multicéntrico) y publicar el código abiertamente. Adicionalmente, Kovačević et al. no anclan su DSS a un modelo de excelencia institucional formalmente adoptado, espacio que GEMSES llena.</w:t>
      </w:r>
    </w:p>
    <w:p>
      <w:pPr>
        <w:spacing w:after="120" w:before="200"/>
      </w:pPr>
      <w:r>
        <w:rPr>
          <w:b/>
          <w:bCs/>
          <w:color w:val="2E74B5"/>
          <w:sz w:val="22"/>
          <w:szCs w:val="22"/>
        </w:rPr>
        <w:t xml:space="preserve">1.60  Palabras Claves</w:t>
      </w:r>
    </w:p>
    <w:p>
      <w:pPr>
        <w:spacing w:after="120" w:line="320"/>
        <w:jc w:val="both"/>
      </w:pPr>
      <w:r>
        <w:rPr>
          <w:b w:val="false"/>
          <w:bCs w:val="false"/>
          <w:i w:val="false"/>
          <w:iCs w:val="false"/>
          <w:sz w:val="22"/>
          <w:szCs w:val="22"/>
        </w:rPr>
        <w:t xml:space="preserve">Decision support system, fuzzy inference, neural network, SVM, risk management, healthcare, FMEA.</w:t>
      </w:r>
    </w:p>
    <w:p>
      <w:pPr>
        <w:pageBreakBefore/>
        <w:spacing w:after="60" w:before="360"/>
      </w:pPr>
      <w:r>
        <w:rPr>
          <w:b/>
          <w:bCs/>
          <w:color w:val="1F3864"/>
          <w:sz w:val="22"/>
          <w:szCs w:val="22"/>
        </w:rPr>
        <w:t xml:space="preserve">Artículo [11]</w:t>
      </w:r>
    </w:p>
    <w:p>
      <w:pPr>
        <w:spacing w:after="60"/>
      </w:pPr>
      <w:r>
        <w:rPr>
          <w:b/>
          <w:bCs/>
          <w:sz w:val="22"/>
          <w:szCs w:val="22"/>
        </w:rPr>
        <w:t xml:space="preserve">Title (EN):  </w:t>
      </w:r>
      <w:r>
        <w:rPr>
          <w:i/>
          <w:iCs/>
          <w:sz w:val="22"/>
          <w:szCs w:val="22"/>
        </w:rPr>
        <w:t xml:space="preserve">Artificial intelligence in healthcare: transforming patient safety with intelligent systems—A systematic review</w:t>
      </w:r>
    </w:p>
    <w:p>
      <w:pPr>
        <w:spacing w:after="120"/>
      </w:pPr>
      <w:r>
        <w:rPr>
          <w:b/>
          <w:bCs/>
          <w:sz w:val="22"/>
          <w:szCs w:val="22"/>
        </w:rPr>
        <w:t xml:space="preserve">Título (ES):  </w:t>
      </w:r>
      <w:r>
        <w:rPr>
          <w:i/>
          <w:iCs/>
          <w:sz w:val="22"/>
          <w:szCs w:val="22"/>
        </w:rPr>
        <w:t xml:space="preserve">Inteligencia artificial en salud: transformando la seguridad del paciente con sistemas inteligentes — una revisión sistemática</w:t>
      </w:r>
    </w:p>
    <w:p>
      <w:pPr>
        <w:spacing w:after="60" w:before="120"/>
      </w:pPr>
      <w:r>
        <w:rPr>
          <w:b/>
          <w:bCs/>
          <w:sz w:val="22"/>
          <w:szCs w:val="22"/>
        </w:rPr>
        <w:t xml:space="preserve">Autor(es):</w:t>
      </w:r>
    </w:p>
    <w:p>
      <w:pPr>
        <w:pStyle w:val="ListParagraph"/>
        <w:numPr>
          <w:ilvl w:val="0"/>
          <w:numId w:val="2"/>
        </w:numPr>
        <w:spacing w:after="60" w:line="300"/>
      </w:pPr>
      <w:r>
        <w:rPr>
          <w:sz w:val="22"/>
          <w:szCs w:val="22"/>
        </w:rPr>
        <w:t xml:space="preserve">Mahnoor Khan</w:t>
      </w:r>
    </w:p>
    <w:p>
      <w:pPr>
        <w:pStyle w:val="ListParagraph"/>
        <w:numPr>
          <w:ilvl w:val="0"/>
          <w:numId w:val="2"/>
        </w:numPr>
        <w:spacing w:after="60" w:line="300"/>
      </w:pPr>
      <w:r>
        <w:rPr>
          <w:sz w:val="22"/>
          <w:szCs w:val="22"/>
        </w:rPr>
        <w:t xml:space="preserve">Muhammad Khurshid</w:t>
      </w:r>
    </w:p>
    <w:p>
      <w:pPr>
        <w:pStyle w:val="ListParagraph"/>
        <w:numPr>
          <w:ilvl w:val="0"/>
          <w:numId w:val="2"/>
        </w:numPr>
        <w:spacing w:after="60" w:line="300"/>
      </w:pPr>
      <w:r>
        <w:rPr>
          <w:sz w:val="22"/>
          <w:szCs w:val="22"/>
        </w:rPr>
        <w:t xml:space="preserve">Mayank Vatsa</w:t>
      </w:r>
    </w:p>
    <w:p>
      <w:pPr>
        <w:pStyle w:val="ListParagraph"/>
        <w:numPr>
          <w:ilvl w:val="0"/>
          <w:numId w:val="2"/>
        </w:numPr>
        <w:spacing w:after="60" w:line="300"/>
      </w:pPr>
      <w:r>
        <w:rPr>
          <w:sz w:val="22"/>
          <w:szCs w:val="22"/>
        </w:rPr>
        <w:t xml:space="preserve">Richa Singh</w:t>
      </w:r>
    </w:p>
    <w:p>
      <w:pPr>
        <w:pStyle w:val="ListParagraph"/>
        <w:numPr>
          <w:ilvl w:val="0"/>
          <w:numId w:val="2"/>
        </w:numPr>
        <w:spacing w:after="60" w:line="300"/>
      </w:pPr>
      <w:r>
        <w:rPr>
          <w:sz w:val="22"/>
          <w:szCs w:val="22"/>
        </w:rPr>
        <w:t xml:space="preserve">Mona Duggal</w:t>
      </w:r>
    </w:p>
    <w:p>
      <w:pPr>
        <w:pStyle w:val="ListParagraph"/>
        <w:numPr>
          <w:ilvl w:val="0"/>
          <w:numId w:val="2"/>
        </w:numPr>
        <w:spacing w:after="60" w:line="300"/>
      </w:pPr>
      <w:r>
        <w:rPr>
          <w:sz w:val="22"/>
          <w:szCs w:val="22"/>
        </w:rPr>
        <w:t xml:space="preserve">Kuldeep Singh</w:t>
      </w:r>
    </w:p>
    <w:p>
      <w:pPr>
        <w:spacing w:after="60" w:before="120"/>
      </w:pPr>
      <w:r>
        <w:rPr>
          <w:b/>
          <w:bCs/>
          <w:sz w:val="22"/>
          <w:szCs w:val="22"/>
        </w:rPr>
        <w:t xml:space="preserve">Fuente:</w:t>
      </w:r>
    </w:p>
    <w:p>
      <w:pPr>
        <w:spacing w:after="120" w:line="320"/>
        <w:jc w:val="both"/>
      </w:pPr>
      <w:r>
        <w:rPr>
          <w:b w:val="false"/>
          <w:bCs w:val="false"/>
          <w:i w:val="false"/>
          <w:iCs w:val="false"/>
          <w:sz w:val="22"/>
          <w:szCs w:val="22"/>
        </w:rPr>
        <w:t xml:space="preserve">Frontiers in Medicine, vol. 11, art. 1522554</w:t>
      </w:r>
    </w:p>
    <w:p>
      <w:pPr>
        <w:spacing w:after="120" w:line="320"/>
        <w:jc w:val="both"/>
      </w:pPr>
      <w:r>
        <w:rPr>
          <w:b w:val="false"/>
          <w:bCs w:val="false"/>
          <w:i w:val="false"/>
          <w:iCs w:val="false"/>
          <w:sz w:val="22"/>
          <w:szCs w:val="22"/>
        </w:rPr>
        <w:t xml:space="preserve">Año de publicación: 2025</w:t>
      </w:r>
    </w:p>
    <w:p>
      <w:pPr>
        <w:spacing w:after="60"/>
      </w:pPr>
      <w:r>
        <w:rPr>
          <w:b/>
          <w:bCs/>
          <w:sz w:val="20"/>
          <w:szCs w:val="20"/>
        </w:rPr>
        <w:t xml:space="preserve">DOI:  </w:t>
      </w:r>
      <w:r>
        <w:rPr>
          <w:rFonts w:ascii="Consolas" w:cs="Consolas" w:eastAsia="Consolas" w:hAnsi="Consolas"/>
          <w:sz w:val="20"/>
          <w:szCs w:val="20"/>
        </w:rPr>
        <w:t xml:space="preserve">10.3389/fmed.2024.1522554</w:t>
      </w:r>
    </w:p>
    <w:p>
      <w:pPr>
        <w:spacing w:after="60"/>
      </w:pPr>
      <w:r>
        <w:rPr>
          <w:b/>
          <w:bCs/>
          <w:sz w:val="20"/>
          <w:szCs w:val="20"/>
        </w:rPr>
        <w:t xml:space="preserve">Enlace al artículo:  </w:t>
      </w:r>
      <w:hyperlink w:history="1" r:id="rIdpzx-ixxdmsr1d7suz6xpi">
        <w:r>
          <w:rPr>
            <w:rStyle w:val="Hyperlink"/>
            <w:color w:val="2E74B5"/>
            <w:sz w:val="18"/>
            <w:szCs w:val="18"/>
            <w:u w:val="single"/>
          </w:rPr>
          <w:t xml:space="preserve">https://www.frontiersin.org/journals/medicine/articles/10.3389/fmed.2024.1522554/full</w:t>
        </w:r>
      </w:hyperlink>
    </w:p>
    <w:p>
      <w:pPr>
        <w:spacing w:after="120" w:before="200"/>
      </w:pPr>
      <w:r>
        <w:rPr>
          <w:b/>
          <w:bCs/>
          <w:color w:val="2E74B5"/>
          <w:sz w:val="22"/>
          <w:szCs w:val="22"/>
        </w:rPr>
        <w:t xml:space="preserve">1.61  Objetivo del artículo</w:t>
      </w:r>
    </w:p>
    <w:p>
      <w:pPr>
        <w:spacing w:after="120" w:line="320"/>
        <w:jc w:val="both"/>
      </w:pPr>
      <w:r>
        <w:rPr>
          <w:i/>
          <w:iCs/>
          <w:color w:val="1F3864"/>
          <w:sz w:val="22"/>
          <w:szCs w:val="22"/>
        </w:rPr>
        <w:t xml:space="preserve">«Los autores buscan mapear sistemáticamente el estado del arte de las aplicaciones de inteligencia artificial en seguridad del paciente, cubriendo detección automatizada de eventos adversos, predicción de mortalidad y complicaciones, sistemas de soporte a la decisión clínica y priorización de riesgo, identificando brechas que limitan la traducción de la investigación al impacto clínico.»</w:t>
      </w:r>
    </w:p>
    <w:p>
      <w:pPr>
        <w:spacing w:after="120" w:before="200"/>
      </w:pPr>
      <w:r>
        <w:rPr>
          <w:b/>
          <w:bCs/>
          <w:color w:val="2E74B5"/>
          <w:sz w:val="22"/>
          <w:szCs w:val="22"/>
        </w:rPr>
        <w:t xml:space="preserve">1.62  Metodología</w:t>
      </w:r>
    </w:p>
    <w:p>
      <w:pPr>
        <w:spacing w:after="120" w:line="320"/>
        <w:jc w:val="both"/>
      </w:pPr>
      <w:r>
        <w:rPr>
          <w:i/>
          <w:iCs/>
          <w:color w:val="1F3864"/>
          <w:sz w:val="22"/>
          <w:szCs w:val="22"/>
        </w:rPr>
        <w:t xml:space="preserve">«Revisión sistemática siguiendo PRISMA. Búsqueda en PubMed, Scopus, IEEE Xplore y Web of Science cubriendo el periodo 2018-2024. Más de 200 estudios fueron seleccionados tras criterios de inclusión y exclusión. La síntesis fue temática, organizando hallazgos según familias técnicas (ML, DL, NLP, computer vision); casos de uso (detección, predicción, soporte a decisión, priorización); madurez del despliegue; e integración con marcos normativos institucionales.»</w:t>
      </w:r>
    </w:p>
    <w:p>
      <w:pPr>
        <w:spacing w:after="120" w:before="200"/>
      </w:pPr>
      <w:r>
        <w:rPr>
          <w:b/>
          <w:bCs/>
          <w:color w:val="2E74B5"/>
          <w:sz w:val="22"/>
          <w:szCs w:val="22"/>
        </w:rPr>
        <w:t xml:space="preserve">1.63  Resultados Principales</w:t>
      </w:r>
    </w:p>
    <w:p>
      <w:pPr>
        <w:spacing w:after="120" w:line="320"/>
        <w:jc w:val="both"/>
      </w:pPr>
      <w:r>
        <w:rPr>
          <w:i/>
          <w:iCs/>
          <w:color w:val="1F3864"/>
          <w:sz w:val="22"/>
          <w:szCs w:val="22"/>
        </w:rPr>
        <w:t xml:space="preserve">«La taxonomía completa de aplicaciones de IA en seguridad del paciente fue mapeada. Brechas identificadas: integración con flujos clínicos reales sigue siendo limitada; validación cross-institucional escasa; alineación con marcos normativos institucionales prácticamente ausente. Los autores destacan que la mayoría de los estudios académicos no se traducen en cambios en la práctica clínica.»</w:t>
      </w:r>
    </w:p>
    <w:p>
      <w:pPr>
        <w:spacing w:after="120" w:before="200"/>
      </w:pPr>
      <w:r>
        <w:rPr>
          <w:b/>
          <w:bCs/>
          <w:color w:val="2E74B5"/>
          <w:sz w:val="22"/>
          <w:szCs w:val="22"/>
        </w:rPr>
        <w:t xml:space="preserve">1.64  Conclusiones</w:t>
      </w:r>
    </w:p>
    <w:p>
      <w:pPr>
        <w:spacing w:after="120" w:line="320"/>
        <w:jc w:val="both"/>
      </w:pPr>
      <w:r>
        <w:rPr>
          <w:i/>
          <w:iCs/>
          <w:color w:val="1F3864"/>
          <w:sz w:val="22"/>
          <w:szCs w:val="22"/>
        </w:rPr>
        <w:t xml:space="preserve">«La IA tiene potencial transformador en seguridad del paciente, pero requiere puentes con la práctica clínica e integración con sistemas de gobernanza institucional. Se recomienda investigación que combine excelencia técnica con alineación normativa.»</w:t>
      </w:r>
    </w:p>
    <w:p>
      <w:pPr>
        <w:spacing w:after="120" w:before="200"/>
      </w:pPr>
      <w:r>
        <w:rPr>
          <w:b/>
          <w:bCs/>
          <w:color w:val="2E74B5"/>
          <w:sz w:val="22"/>
          <w:szCs w:val="22"/>
        </w:rPr>
        <w:t xml:space="preserve">1.65  Crítica Personal</w:t>
      </w:r>
    </w:p>
    <w:p>
      <w:pPr>
        <w:spacing w:after="120" w:line="320"/>
        <w:jc w:val="both"/>
      </w:pPr>
      <w:r>
        <w:rPr>
          <w:b w:val="false"/>
          <w:bCs w:val="false"/>
          <w:i w:val="false"/>
          <w:iCs w:val="false"/>
          <w:sz w:val="22"/>
          <w:szCs w:val="22"/>
        </w:rPr>
        <w:t xml:space="preserve">Es la cita estratégica que justifica la pertinencia global del tema y, simultáneamente, identifica explícitamente la brecha que la tesis llena: alineación de IA con marcos normativos institucionales adoptados. Esta brecha es exactamente la contribución original de la tesis, que conecta NLP + ML con la Matriz de Priorización GEMSES adoptada por EsSalud mediante directiva oficial. La principal limitación de la revisión es su amplitud (más de 200 estudios) que produce profundidad temática moderada en cada subtema; aun así, sirve como referencia cohesiva para el estado del arte general.</w:t>
      </w:r>
    </w:p>
    <w:p>
      <w:pPr>
        <w:spacing w:after="120" w:before="200"/>
      </w:pPr>
      <w:r>
        <w:rPr>
          <w:b/>
          <w:bCs/>
          <w:color w:val="2E74B5"/>
          <w:sz w:val="22"/>
          <w:szCs w:val="22"/>
        </w:rPr>
        <w:t xml:space="preserve">1.66  Palabras Claves</w:t>
      </w:r>
    </w:p>
    <w:p>
      <w:pPr>
        <w:spacing w:after="120" w:line="320"/>
        <w:jc w:val="both"/>
      </w:pPr>
      <w:r>
        <w:rPr>
          <w:b w:val="false"/>
          <w:bCs w:val="false"/>
          <w:i w:val="false"/>
          <w:iCs w:val="false"/>
          <w:sz w:val="22"/>
          <w:szCs w:val="22"/>
        </w:rPr>
        <w:t xml:space="preserve">Artificial intelligence, patient safety, systematic review, intelligent systems, clinical decision support, healthcare governance.</w:t>
      </w:r>
    </w:p>
    <w:p>
      <w:pPr>
        <w:pageBreakBefore/>
        <w:spacing w:after="60" w:before="360"/>
      </w:pPr>
      <w:r>
        <w:rPr>
          <w:b/>
          <w:bCs/>
          <w:color w:val="1F3864"/>
          <w:sz w:val="22"/>
          <w:szCs w:val="22"/>
        </w:rPr>
        <w:t xml:space="preserve">Artículo [12]</w:t>
      </w:r>
    </w:p>
    <w:p>
      <w:pPr>
        <w:spacing w:after="60"/>
      </w:pPr>
      <w:r>
        <w:rPr>
          <w:b/>
          <w:bCs/>
          <w:sz w:val="22"/>
          <w:szCs w:val="22"/>
        </w:rPr>
        <w:t xml:space="preserve">Title (EN):  </w:t>
      </w:r>
      <w:r>
        <w:rPr>
          <w:i/>
          <w:iCs/>
          <w:sz w:val="22"/>
          <w:szCs w:val="22"/>
        </w:rPr>
        <w:t xml:space="preserve">Risk Management and Patient Safety in the Artificial Intelligence Era: A Systematic Review</w:t>
      </w:r>
    </w:p>
    <w:p>
      <w:pPr>
        <w:spacing w:after="120"/>
      </w:pPr>
      <w:r>
        <w:rPr>
          <w:b/>
          <w:bCs/>
          <w:sz w:val="22"/>
          <w:szCs w:val="22"/>
        </w:rPr>
        <w:t xml:space="preserve">Título (ES):  </w:t>
      </w:r>
      <w:r>
        <w:rPr>
          <w:i/>
          <w:iCs/>
          <w:sz w:val="22"/>
          <w:szCs w:val="22"/>
        </w:rPr>
        <w:t xml:space="preserve">Gestión del riesgo y seguridad del paciente en la era de la inteligencia artificial: una revisión sistemática</w:t>
      </w:r>
    </w:p>
    <w:p>
      <w:pPr>
        <w:spacing w:after="60" w:before="120"/>
      </w:pPr>
      <w:r>
        <w:rPr>
          <w:b/>
          <w:bCs/>
          <w:sz w:val="22"/>
          <w:szCs w:val="22"/>
        </w:rPr>
        <w:t xml:space="preserve">Autor(es):</w:t>
      </w:r>
    </w:p>
    <w:p>
      <w:pPr>
        <w:pStyle w:val="ListParagraph"/>
        <w:numPr>
          <w:ilvl w:val="0"/>
          <w:numId w:val="2"/>
        </w:numPr>
        <w:spacing w:after="60" w:line="300"/>
      </w:pPr>
      <w:r>
        <w:rPr>
          <w:sz w:val="22"/>
          <w:szCs w:val="22"/>
        </w:rPr>
        <w:t xml:space="preserve">Michela Ferrara</w:t>
      </w:r>
    </w:p>
    <w:p>
      <w:pPr>
        <w:pStyle w:val="ListParagraph"/>
        <w:numPr>
          <w:ilvl w:val="0"/>
          <w:numId w:val="2"/>
        </w:numPr>
        <w:spacing w:after="60" w:line="300"/>
      </w:pPr>
      <w:r>
        <w:rPr>
          <w:sz w:val="22"/>
          <w:szCs w:val="22"/>
        </w:rPr>
        <w:t xml:space="preserve">Giuseppe Bertozzi</w:t>
      </w:r>
    </w:p>
    <w:p>
      <w:pPr>
        <w:pStyle w:val="ListParagraph"/>
        <w:numPr>
          <w:ilvl w:val="0"/>
          <w:numId w:val="2"/>
        </w:numPr>
        <w:spacing w:after="60" w:line="300"/>
      </w:pPr>
      <w:r>
        <w:rPr>
          <w:sz w:val="22"/>
          <w:szCs w:val="22"/>
        </w:rPr>
        <w:t xml:space="preserve">Nicola Di Fazio</w:t>
      </w:r>
    </w:p>
    <w:p>
      <w:pPr>
        <w:pStyle w:val="ListParagraph"/>
        <w:numPr>
          <w:ilvl w:val="0"/>
          <w:numId w:val="2"/>
        </w:numPr>
        <w:spacing w:after="60" w:line="300"/>
      </w:pPr>
      <w:r>
        <w:rPr>
          <w:sz w:val="22"/>
          <w:szCs w:val="22"/>
        </w:rPr>
        <w:t xml:space="preserve">Isabella Aquila</w:t>
      </w:r>
    </w:p>
    <w:p>
      <w:pPr>
        <w:pStyle w:val="ListParagraph"/>
        <w:numPr>
          <w:ilvl w:val="0"/>
          <w:numId w:val="2"/>
        </w:numPr>
        <w:spacing w:after="60" w:line="300"/>
      </w:pPr>
      <w:r>
        <w:rPr>
          <w:sz w:val="22"/>
          <w:szCs w:val="22"/>
        </w:rPr>
        <w:t xml:space="preserve">Aldo Di Fazio</w:t>
      </w:r>
    </w:p>
    <w:p>
      <w:pPr>
        <w:pStyle w:val="ListParagraph"/>
        <w:numPr>
          <w:ilvl w:val="0"/>
          <w:numId w:val="2"/>
        </w:numPr>
        <w:spacing w:after="60" w:line="300"/>
      </w:pPr>
      <w:r>
        <w:rPr>
          <w:sz w:val="22"/>
          <w:szCs w:val="22"/>
        </w:rPr>
        <w:t xml:space="preserve">Aniello Maiese</w:t>
      </w:r>
    </w:p>
    <w:p>
      <w:pPr>
        <w:pStyle w:val="ListParagraph"/>
        <w:numPr>
          <w:ilvl w:val="0"/>
          <w:numId w:val="2"/>
        </w:numPr>
        <w:spacing w:after="60" w:line="300"/>
      </w:pPr>
      <w:r>
        <w:rPr>
          <w:sz w:val="22"/>
          <w:szCs w:val="22"/>
        </w:rPr>
        <w:t xml:space="preserve">Gianpietro Volonnino</w:t>
      </w:r>
    </w:p>
    <w:p>
      <w:pPr>
        <w:pStyle w:val="ListParagraph"/>
        <w:numPr>
          <w:ilvl w:val="0"/>
          <w:numId w:val="2"/>
        </w:numPr>
        <w:spacing w:after="60" w:line="300"/>
      </w:pPr>
      <w:r>
        <w:rPr>
          <w:sz w:val="22"/>
          <w:szCs w:val="22"/>
        </w:rPr>
        <w:t xml:space="preserve">Paola Frati</w:t>
      </w:r>
    </w:p>
    <w:p>
      <w:pPr>
        <w:pStyle w:val="ListParagraph"/>
        <w:numPr>
          <w:ilvl w:val="0"/>
          <w:numId w:val="2"/>
        </w:numPr>
        <w:spacing w:after="60" w:line="300"/>
      </w:pPr>
      <w:r>
        <w:rPr>
          <w:sz w:val="22"/>
          <w:szCs w:val="22"/>
        </w:rPr>
        <w:t xml:space="preserve">Raffaele La Russa</w:t>
      </w:r>
    </w:p>
    <w:p>
      <w:pPr>
        <w:spacing w:after="60" w:before="120"/>
      </w:pPr>
      <w:r>
        <w:rPr>
          <w:b/>
          <w:bCs/>
          <w:sz w:val="22"/>
          <w:szCs w:val="22"/>
        </w:rPr>
        <w:t xml:space="preserve">Fuente:</w:t>
      </w:r>
    </w:p>
    <w:p>
      <w:pPr>
        <w:spacing w:after="120" w:line="320"/>
        <w:jc w:val="both"/>
      </w:pPr>
      <w:r>
        <w:rPr>
          <w:b w:val="false"/>
          <w:bCs w:val="false"/>
          <w:i w:val="false"/>
          <w:iCs w:val="false"/>
          <w:sz w:val="22"/>
          <w:szCs w:val="22"/>
        </w:rPr>
        <w:t xml:space="preserve">Healthcare (MDPI), vol. 12, n.º 5, art. 549</w:t>
      </w:r>
    </w:p>
    <w:p>
      <w:pPr>
        <w:spacing w:after="120" w:line="320"/>
        <w:jc w:val="both"/>
      </w:pPr>
      <w:r>
        <w:rPr>
          <w:b w:val="false"/>
          <w:bCs w:val="false"/>
          <w:i w:val="false"/>
          <w:iCs w:val="false"/>
          <w:sz w:val="22"/>
          <w:szCs w:val="22"/>
        </w:rPr>
        <w:t xml:space="preserve">Año de publicación: 2024</w:t>
      </w:r>
    </w:p>
    <w:p>
      <w:pPr>
        <w:spacing w:after="60"/>
      </w:pPr>
      <w:r>
        <w:rPr>
          <w:b/>
          <w:bCs/>
          <w:sz w:val="20"/>
          <w:szCs w:val="20"/>
        </w:rPr>
        <w:t xml:space="preserve">DOI:  </w:t>
      </w:r>
      <w:r>
        <w:rPr>
          <w:rFonts w:ascii="Consolas" w:cs="Consolas" w:eastAsia="Consolas" w:hAnsi="Consolas"/>
          <w:sz w:val="20"/>
          <w:szCs w:val="20"/>
        </w:rPr>
        <w:t xml:space="preserve">10.3390/healthcare12050549</w:t>
      </w:r>
    </w:p>
    <w:p>
      <w:pPr>
        <w:spacing w:after="60"/>
      </w:pPr>
      <w:r>
        <w:rPr>
          <w:b/>
          <w:bCs/>
          <w:sz w:val="20"/>
          <w:szCs w:val="20"/>
        </w:rPr>
        <w:t xml:space="preserve">Enlace al artículo:  </w:t>
      </w:r>
      <w:hyperlink w:history="1" r:id="rIdy-y4ehwn9vjed1tj60vrw">
        <w:r>
          <w:rPr>
            <w:rStyle w:val="Hyperlink"/>
            <w:color w:val="2E74B5"/>
            <w:sz w:val="18"/>
            <w:szCs w:val="18"/>
            <w:u w:val="single"/>
          </w:rPr>
          <w:t xml:space="preserve">https://pmc.ncbi.nlm.nih.gov/articles/PMC10931321/</w:t>
        </w:r>
      </w:hyperlink>
    </w:p>
    <w:p>
      <w:pPr>
        <w:spacing w:after="120" w:before="200"/>
      </w:pPr>
      <w:r>
        <w:rPr>
          <w:b/>
          <w:bCs/>
          <w:color w:val="2E74B5"/>
          <w:sz w:val="22"/>
          <w:szCs w:val="22"/>
        </w:rPr>
        <w:t xml:space="preserve">1.67  Objetivo del artículo</w:t>
      </w:r>
    </w:p>
    <w:p>
      <w:pPr>
        <w:spacing w:after="120" w:line="320"/>
        <w:jc w:val="both"/>
      </w:pPr>
      <w:r>
        <w:rPr>
          <w:i/>
          <w:iCs/>
          <w:color w:val="1F3864"/>
          <w:sz w:val="22"/>
          <w:szCs w:val="22"/>
        </w:rPr>
        <w:t xml:space="preserve">«Los autores realizan una revisión sistemática del rol de la inteligencia artificial en la gestión del riesgo clínico y la seguridad del paciente, identificando aplicaciones específicas en clasificación, predicción y priorización de eventos adversos, así como las implicaciones éticas y de gobernanza derivadas de la introducción de IA en sistemas de gestión hospitalaria.»</w:t>
      </w:r>
    </w:p>
    <w:p>
      <w:pPr>
        <w:spacing w:after="120" w:before="200"/>
      </w:pPr>
      <w:r>
        <w:rPr>
          <w:b/>
          <w:bCs/>
          <w:color w:val="2E74B5"/>
          <w:sz w:val="22"/>
          <w:szCs w:val="22"/>
        </w:rPr>
        <w:t xml:space="preserve">1.68  Metodología</w:t>
      </w:r>
    </w:p>
    <w:p>
      <w:pPr>
        <w:spacing w:after="120" w:line="320"/>
        <w:jc w:val="both"/>
      </w:pPr>
      <w:r>
        <w:rPr>
          <w:i/>
          <w:iCs/>
          <w:color w:val="1F3864"/>
          <w:sz w:val="22"/>
          <w:szCs w:val="22"/>
        </w:rPr>
        <w:t xml:space="preserve">«Revisión sistemática siguiendo PRISMA. Búsqueda en PubMed, Scopus y Web of Science. Criterios de inclusión: estudios empíricos o de revisión sobre aplicaciones de IA en gestión del riesgo clínico, clasificación de eventos adversos, sistemas de soporte a la decisión y priorización de eventos centinela. Análisis cualitativo organizado por aplicación clínica, técnica empleada y madurez de implementación.»</w:t>
      </w:r>
    </w:p>
    <w:p>
      <w:pPr>
        <w:spacing w:after="120" w:before="200"/>
      </w:pPr>
      <w:r>
        <w:rPr>
          <w:b/>
          <w:bCs/>
          <w:color w:val="2E74B5"/>
          <w:sz w:val="22"/>
          <w:szCs w:val="22"/>
        </w:rPr>
        <w:t xml:space="preserve">1.69  Resultados Principales</w:t>
      </w:r>
    </w:p>
    <w:p>
      <w:pPr>
        <w:spacing w:after="120" w:line="320"/>
        <w:jc w:val="both"/>
      </w:pPr>
      <w:r>
        <w:rPr>
          <w:i/>
          <w:iCs/>
          <w:color w:val="1F3864"/>
          <w:sz w:val="22"/>
          <w:szCs w:val="22"/>
        </w:rPr>
        <w:t xml:space="preserve">«La IA acelera la transformación de datos no estructurados en información estructurada útil para identificar eventos potencialmente fatales o capaces de causar daño grave, priorizando los eventos adversos con consecuencias significativas para los pacientes. Las técnicas de text mining son útiles para priorizar preocupaciones de seguridad y clasificar automáticamente la severidad de eventos. Los autores destacan que la convergencia entre IA y gestión del riesgo crea oportunidades pero también requiere marcos de gobernanza claros.»</w:t>
      </w:r>
    </w:p>
    <w:p>
      <w:pPr>
        <w:spacing w:after="120" w:before="200"/>
      </w:pPr>
      <w:r>
        <w:rPr>
          <w:b/>
          <w:bCs/>
          <w:color w:val="2E74B5"/>
          <w:sz w:val="22"/>
          <w:szCs w:val="22"/>
        </w:rPr>
        <w:t xml:space="preserve">1.70  Conclusiones</w:t>
      </w:r>
    </w:p>
    <w:p>
      <w:pPr>
        <w:spacing w:after="120" w:line="320"/>
        <w:jc w:val="both"/>
      </w:pPr>
      <w:r>
        <w:rPr>
          <w:i/>
          <w:iCs/>
          <w:color w:val="1F3864"/>
          <w:sz w:val="22"/>
          <w:szCs w:val="22"/>
        </w:rPr>
        <w:t xml:space="preserve">«La IA representa una transformación irreversible de la gestión del riesgo clínico. Se recomienda que las instituciones adopten estrategias de implementación graduales, alineadas con marcos normativos, con énfasis en transparencia algorítmica, explicabilidad y supervisión humana. Identifica como prioridad investigaciones que conecten capacidades técnicas de IA con sistemas de gestión institucional.»</w:t>
      </w:r>
    </w:p>
    <w:p>
      <w:pPr>
        <w:spacing w:after="120" w:before="200"/>
      </w:pPr>
      <w:r>
        <w:rPr>
          <w:b/>
          <w:bCs/>
          <w:color w:val="2E74B5"/>
          <w:sz w:val="22"/>
          <w:szCs w:val="22"/>
        </w:rPr>
        <w:t xml:space="preserve">1.71  Crítica Personal</w:t>
      </w:r>
    </w:p>
    <w:p>
      <w:pPr>
        <w:spacing w:after="120" w:line="320"/>
        <w:jc w:val="both"/>
      </w:pPr>
      <w:r>
        <w:rPr>
          <w:b w:val="false"/>
          <w:bCs w:val="false"/>
          <w:i w:val="false"/>
          <w:iCs w:val="false"/>
          <w:sz w:val="22"/>
          <w:szCs w:val="22"/>
        </w:rPr>
        <w:t xml:space="preserve">Es la cita más reciente y específica para sustentar el aporte central de la tesis: la conversión automatizada de notas clínicas no estructuradas en clasificaciones de severidad para gestión del riesgo. Refuerza explícitamente la necesidad de marcos de gobernanza claros, lo que la tesis aborda al anclarse en la Directiva GG-ESSALUD-2021 y el Modelo GEMSES. La principal limitación de Ferrara et al. es la ausencia de una propuesta operacional concreta; presentan tendencias y recomendaciones pero no un flujo de procesamiento (pipeline) reproducible. La tesis llena ese vacío: transforma la recomendación general de alinear IA con gobernanza en un pipeline replicable sobre MIMIC-IV con la Matriz de Priorización GEMSES.</w:t>
      </w:r>
    </w:p>
    <w:p>
      <w:pPr>
        <w:spacing w:after="120" w:before="200"/>
      </w:pPr>
      <w:r>
        <w:rPr>
          <w:b/>
          <w:bCs/>
          <w:color w:val="2E74B5"/>
          <w:sz w:val="22"/>
          <w:szCs w:val="22"/>
        </w:rPr>
        <w:t xml:space="preserve">1.72  Palabras Claves</w:t>
      </w:r>
    </w:p>
    <w:p>
      <w:pPr>
        <w:spacing w:after="120" w:line="320"/>
        <w:jc w:val="both"/>
      </w:pPr>
      <w:r>
        <w:rPr>
          <w:b w:val="false"/>
          <w:bCs w:val="false"/>
          <w:i w:val="false"/>
          <w:iCs w:val="false"/>
          <w:sz w:val="22"/>
          <w:szCs w:val="22"/>
        </w:rPr>
        <w:t xml:space="preserve">Artificial intelligence, risk management, patient safety, systematic review, governance, clinical decision support, text mining.</w:t>
      </w:r>
    </w:p>
    <w:p>
      <w:r>
        <w:br w:type="page"/>
      </w:r>
    </w:p>
    <w:p>
      <w:pPr>
        <w:pStyle w:val="Heading1"/>
        <w:spacing w:after="200" w:before="360"/>
      </w:pPr>
      <w:r>
        <w:rPr>
          <w:b/>
          <w:bCs/>
          <w:color w:val="1F3864"/>
          <w:sz w:val="32"/>
          <w:szCs w:val="32"/>
        </w:rPr>
        <w:t xml:space="preserve">2. Tabla Comparativa</w:t>
      </w:r>
    </w:p>
    <w:p>
      <w:pPr>
        <w:spacing w:after="120" w:line="320"/>
        <w:jc w:val="both"/>
      </w:pPr>
      <w:r>
        <w:rPr>
          <w:b w:val="false"/>
          <w:bCs w:val="false"/>
          <w:i w:val="false"/>
          <w:iCs w:val="false"/>
          <w:sz w:val="22"/>
          <w:szCs w:val="22"/>
        </w:rPr>
        <w:t xml:space="preserve">Tabla consolidada de los doce artículos analizados, comparando la técnica principal empleada, la métrica de evaluación y el resultado representativo. La columna «Tema» refiere a la clasificación de los artículos en los tres temas de revisión: T1 (NLP), T2 (MIMIC-IV) y T3 (priorización de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000"/>
        <w:gridCol w:w="2300"/>
        <w:gridCol w:w="1700"/>
        <w:gridCol w:w="1860"/>
      </w:tblGrid>
      <w:tr>
        <w:trPr>
          <w:tblHeader/>
        </w:trPr>
        <w:tc>
          <w:tcPr>
            <w:tcW w:type="dxa" w:w="7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center"/>
            </w:pPr>
            <w:r>
              <w:rPr>
                <w:b/>
                <w:bCs/>
                <w:color w:val="FFFFFF"/>
                <w:sz w:val="18"/>
                <w:szCs w:val="18"/>
              </w:rPr>
              <w:t xml:space="preserve">Art.</w:t>
            </w:r>
          </w:p>
        </w:tc>
        <w:tc>
          <w:tcPr>
            <w:tcW w:type="dxa" w:w="8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center"/>
            </w:pPr>
            <w:r>
              <w:rPr>
                <w:b/>
                <w:bCs/>
                <w:color w:val="FFFFFF"/>
                <w:sz w:val="18"/>
                <w:szCs w:val="18"/>
              </w:rPr>
              <w:t xml:space="preserve">Tema</w:t>
            </w:r>
          </w:p>
        </w:tc>
        <w:tc>
          <w:tcPr>
            <w:tcW w:type="dxa" w:w="20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center"/>
            </w:pPr>
            <w:r>
              <w:rPr>
                <w:b/>
                <w:bCs/>
                <w:color w:val="FFFFFF"/>
                <w:sz w:val="18"/>
                <w:szCs w:val="18"/>
              </w:rPr>
              <w:t xml:space="preserve">Autor / Año</w:t>
            </w:r>
          </w:p>
        </w:tc>
        <w:tc>
          <w:tcPr>
            <w:tcW w:type="dxa" w:w="23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center"/>
            </w:pPr>
            <w:r>
              <w:rPr>
                <w:b/>
                <w:bCs/>
                <w:color w:val="FFFFFF"/>
                <w:sz w:val="18"/>
                <w:szCs w:val="18"/>
              </w:rPr>
              <w:t xml:space="preserve">Técnica</w:t>
            </w:r>
          </w:p>
        </w:tc>
        <w:tc>
          <w:tcPr>
            <w:tcW w:type="dxa" w:w="17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center"/>
            </w:pPr>
            <w:r>
              <w:rPr>
                <w:b/>
                <w:bCs/>
                <w:color w:val="FFFFFF"/>
                <w:sz w:val="18"/>
                <w:szCs w:val="18"/>
              </w:rPr>
              <w:t xml:space="preserve">Métrica</w:t>
            </w:r>
          </w:p>
        </w:tc>
        <w:tc>
          <w:tcPr>
            <w:tcW w:type="dxa" w:w="186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center"/>
            </w:pPr>
            <w:r>
              <w:rPr>
                <w:b/>
                <w:bCs/>
                <w:color w:val="FFFFFF"/>
                <w:sz w:val="18"/>
                <w:szCs w:val="18"/>
              </w:rPr>
              <w:t xml:space="preserve">Resultado</w:t>
            </w:r>
          </w:p>
        </w:tc>
      </w:tr>
      <w:tr>
        <w:tc>
          <w:tcPr>
            <w:tcW w:type="dxa" w:w="7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center"/>
            </w:pPr>
            <w:r>
              <w:rPr>
                <w:b/>
                <w:bCs/>
                <w:color w:val="000000"/>
                <w:sz w:val="18"/>
                <w:szCs w:val="18"/>
              </w:rPr>
              <w:t xml:space="preserve">[1]</w:t>
            </w:r>
          </w:p>
        </w:tc>
        <w:tc>
          <w:tcPr>
            <w:tcW w:type="dxa" w:w="8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center"/>
            </w:pPr>
            <w:r>
              <w:rPr>
                <w:b/>
                <w:bCs/>
                <w:color w:val="000000"/>
                <w:sz w:val="18"/>
                <w:szCs w:val="18"/>
              </w:rPr>
              <w:t xml:space="preserve">T1</w:t>
            </w:r>
          </w:p>
        </w:tc>
        <w:tc>
          <w:tcPr>
            <w:tcW w:type="dxa" w:w="20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Modi &amp; Feldman, 2024</w:t>
            </w:r>
          </w:p>
        </w:tc>
        <w:tc>
          <w:tcPr>
            <w:tcW w:type="dxa" w:w="23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Revisión sistemática PRISMA</w:t>
            </w:r>
          </w:p>
        </w:tc>
        <w:tc>
          <w:tcPr>
            <w:tcW w:type="dxa" w:w="17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F1, recall</w:t>
            </w:r>
          </w:p>
        </w:tc>
        <w:tc>
          <w:tcPr>
            <w:tcW w:type="dxa" w:w="186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82 estudios; F1 0.78-0.92</w:t>
            </w:r>
          </w:p>
        </w:tc>
      </w:tr>
      <w:tr>
        <w:tc>
          <w:tcPr>
            <w:tcW w:type="dxa" w:w="7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center"/>
            </w:pPr>
            <w:r>
              <w:rPr>
                <w:b/>
                <w:bCs/>
                <w:color w:val="000000"/>
                <w:sz w:val="18"/>
                <w:szCs w:val="18"/>
              </w:rPr>
              <w:t xml:space="preserve">[2]</w:t>
            </w:r>
          </w:p>
        </w:tc>
        <w:tc>
          <w:tcPr>
            <w:tcW w:type="dxa" w:w="8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center"/>
            </w:pPr>
            <w:r>
              <w:rPr>
                <w:b/>
                <w:bCs/>
                <w:color w:val="000000"/>
                <w:sz w:val="18"/>
                <w:szCs w:val="18"/>
              </w:rPr>
              <w:t xml:space="preserve">T1</w:t>
            </w:r>
          </w:p>
        </w:tc>
        <w:tc>
          <w:tcPr>
            <w:tcW w:type="dxa" w:w="20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Wang et al., 2024</w:t>
            </w:r>
          </w:p>
        </w:tc>
        <w:tc>
          <w:tcPr>
            <w:tcW w:type="dxa" w:w="23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BERT vs bag-of-words</w:t>
            </w:r>
          </w:p>
        </w:tc>
        <w:tc>
          <w:tcPr>
            <w:tcW w:type="dxa" w:w="17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F1 ponderado</w:t>
            </w:r>
          </w:p>
        </w:tc>
        <w:tc>
          <w:tcPr>
            <w:tcW w:type="dxa" w:w="186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F1 ponderado +0.10-0.15 (p&lt;0.01)</w:t>
            </w:r>
          </w:p>
        </w:tc>
      </w:tr>
      <w:tr>
        <w:tc>
          <w:tcPr>
            <w:tcW w:type="dxa" w:w="7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center"/>
            </w:pPr>
            <w:r>
              <w:rPr>
                <w:b/>
                <w:bCs/>
                <w:color w:val="000000"/>
                <w:sz w:val="18"/>
                <w:szCs w:val="18"/>
              </w:rPr>
              <w:t xml:space="preserve">[3]</w:t>
            </w:r>
          </w:p>
        </w:tc>
        <w:tc>
          <w:tcPr>
            <w:tcW w:type="dxa" w:w="8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center"/>
            </w:pPr>
            <w:r>
              <w:rPr>
                <w:b/>
                <w:bCs/>
                <w:color w:val="000000"/>
                <w:sz w:val="18"/>
                <w:szCs w:val="18"/>
              </w:rPr>
              <w:t xml:space="preserve">T1</w:t>
            </w:r>
          </w:p>
        </w:tc>
        <w:tc>
          <w:tcPr>
            <w:tcW w:type="dxa" w:w="20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Mahendran et al., 2025</w:t>
            </w:r>
          </w:p>
        </w:tc>
        <w:tc>
          <w:tcPr>
            <w:tcW w:type="dxa" w:w="23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Scoping review PRISMA-ScR</w:t>
            </w:r>
          </w:p>
        </w:tc>
        <w:tc>
          <w:tcPr>
            <w:tcW w:type="dxa" w:w="17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Cobertura cualitativa</w:t>
            </w:r>
          </w:p>
        </w:tc>
        <w:tc>
          <w:tcPr>
            <w:tcW w:type="dxa" w:w="186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Brecha lab-clínica identificada</w:t>
            </w:r>
          </w:p>
        </w:tc>
      </w:tr>
      <w:tr>
        <w:tc>
          <w:tcPr>
            <w:tcW w:type="dxa" w:w="7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center"/>
            </w:pPr>
            <w:r>
              <w:rPr>
                <w:b/>
                <w:bCs/>
                <w:color w:val="000000"/>
                <w:sz w:val="18"/>
                <w:szCs w:val="18"/>
              </w:rPr>
              <w:t xml:space="preserve">[4]</w:t>
            </w:r>
          </w:p>
        </w:tc>
        <w:tc>
          <w:tcPr>
            <w:tcW w:type="dxa" w:w="8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center"/>
            </w:pPr>
            <w:r>
              <w:rPr>
                <w:b/>
                <w:bCs/>
                <w:color w:val="000000"/>
                <w:sz w:val="18"/>
                <w:szCs w:val="18"/>
              </w:rPr>
              <w:t xml:space="preserve">T1</w:t>
            </w:r>
          </w:p>
        </w:tc>
        <w:tc>
          <w:tcPr>
            <w:tcW w:type="dxa" w:w="20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Campillos-Llanos, 2023</w:t>
            </w:r>
          </w:p>
        </w:tc>
        <w:tc>
          <w:tcPr>
            <w:tcW w:type="dxa" w:w="23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Léxico unificado UMLS-ES</w:t>
            </w:r>
          </w:p>
        </w:tc>
        <w:tc>
          <w:tcPr>
            <w:tcW w:type="dxa" w:w="17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Cobertura léxica</w:t>
            </w:r>
          </w:p>
        </w:tc>
        <w:tc>
          <w:tcPr>
            <w:tcW w:type="dxa" w:w="186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val="false"/>
                <w:bCs w:val="false"/>
                <w:color w:val="000000"/>
                <w:sz w:val="18"/>
                <w:szCs w:val="18"/>
              </w:rPr>
              <w:t xml:space="preserve">Cobertura ICD-10 / CodiEsp validada</w:t>
            </w:r>
          </w:p>
        </w:tc>
      </w:tr>
      <w:tr>
        <w:tc>
          <w:tcPr>
            <w:tcW w:type="dxa" w:w="7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center"/>
            </w:pPr>
            <w:r>
              <w:rPr>
                <w:b/>
                <w:bCs/>
                <w:color w:val="000000"/>
                <w:sz w:val="18"/>
                <w:szCs w:val="18"/>
              </w:rPr>
              <w:t xml:space="preserve">[5]</w:t>
            </w:r>
          </w:p>
        </w:tc>
        <w:tc>
          <w:tcPr>
            <w:tcW w:type="dxa" w:w="8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center"/>
            </w:pPr>
            <w:r>
              <w:rPr>
                <w:b/>
                <w:bCs/>
                <w:color w:val="000000"/>
                <w:sz w:val="18"/>
                <w:szCs w:val="18"/>
              </w:rPr>
              <w:t xml:space="preserve">T2</w:t>
            </w:r>
          </w:p>
        </w:tc>
        <w:tc>
          <w:tcPr>
            <w:tcW w:type="dxa" w:w="20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Johnson et al., 2023</w:t>
            </w:r>
          </w:p>
        </w:tc>
        <w:tc>
          <w:tcPr>
            <w:tcW w:type="dxa" w:w="23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Construcción de dataset abierto</w:t>
            </w:r>
          </w:p>
        </w:tc>
        <w:tc>
          <w:tcPr>
            <w:tcW w:type="dxa" w:w="17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Volumen y completitud</w:t>
            </w:r>
          </w:p>
        </w:tc>
        <w:tc>
          <w:tcPr>
            <w:tcW w:type="dxa" w:w="186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65 366 ICU + 200 859 ED</w:t>
            </w:r>
          </w:p>
        </w:tc>
      </w:tr>
      <w:tr>
        <w:tc>
          <w:tcPr>
            <w:tcW w:type="dxa" w:w="7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center"/>
            </w:pPr>
            <w:r>
              <w:rPr>
                <w:b/>
                <w:bCs/>
                <w:color w:val="000000"/>
                <w:sz w:val="18"/>
                <w:szCs w:val="18"/>
              </w:rPr>
              <w:t xml:space="preserve">[6]</w:t>
            </w:r>
          </w:p>
        </w:tc>
        <w:tc>
          <w:tcPr>
            <w:tcW w:type="dxa" w:w="8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center"/>
            </w:pPr>
            <w:r>
              <w:rPr>
                <w:b/>
                <w:bCs/>
                <w:color w:val="000000"/>
                <w:sz w:val="18"/>
                <w:szCs w:val="18"/>
              </w:rPr>
              <w:t xml:space="preserve">T2</w:t>
            </w:r>
          </w:p>
        </w:tc>
        <w:tc>
          <w:tcPr>
            <w:tcW w:type="dxa" w:w="20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van Aken et al., 2024</w:t>
            </w:r>
          </w:p>
        </w:tc>
        <w:tc>
          <w:tcPr>
            <w:tcW w:type="dxa" w:w="23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Comparativa BioBERT/ClinicalBERT/LLM</w:t>
            </w:r>
          </w:p>
        </w:tc>
        <w:tc>
          <w:tcPr>
            <w:tcW w:type="dxa" w:w="17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AUC-ROC, F1</w:t>
            </w:r>
          </w:p>
        </w:tc>
        <w:tc>
          <w:tcPr>
            <w:tcW w:type="dxa" w:w="186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AUC-ROC +0.03 a +0.08 vs baseline</w:t>
            </w:r>
          </w:p>
        </w:tc>
      </w:tr>
      <w:tr>
        <w:tc>
          <w:tcPr>
            <w:tcW w:type="dxa" w:w="7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center"/>
            </w:pPr>
            <w:r>
              <w:rPr>
                <w:b/>
                <w:bCs/>
                <w:color w:val="000000"/>
                <w:sz w:val="18"/>
                <w:szCs w:val="18"/>
              </w:rPr>
              <w:t xml:space="preserve">[7]</w:t>
            </w:r>
          </w:p>
        </w:tc>
        <w:tc>
          <w:tcPr>
            <w:tcW w:type="dxa" w:w="8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center"/>
            </w:pPr>
            <w:r>
              <w:rPr>
                <w:b/>
                <w:bCs/>
                <w:color w:val="000000"/>
                <w:sz w:val="18"/>
                <w:szCs w:val="18"/>
              </w:rPr>
              <w:t xml:space="preserve">T2</w:t>
            </w:r>
          </w:p>
        </w:tc>
        <w:tc>
          <w:tcPr>
            <w:tcW w:type="dxa" w:w="20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Hu et al., 2024</w:t>
            </w:r>
          </w:p>
        </w:tc>
        <w:tc>
          <w:tcPr>
            <w:tcW w:type="dxa" w:w="23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Meta-análisis ML</w:t>
            </w:r>
          </w:p>
        </w:tc>
        <w:tc>
          <w:tcPr>
            <w:tcW w:type="dxa" w:w="17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AUC promedio</w:t>
            </w:r>
          </w:p>
        </w:tc>
        <w:tc>
          <w:tcPr>
            <w:tcW w:type="dxa" w:w="186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AUC promedio 0.80-0.85</w:t>
            </w:r>
          </w:p>
        </w:tc>
      </w:tr>
      <w:tr>
        <w:tc>
          <w:tcPr>
            <w:tcW w:type="dxa" w:w="7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center"/>
            </w:pPr>
            <w:r>
              <w:rPr>
                <w:b/>
                <w:bCs/>
                <w:color w:val="000000"/>
                <w:sz w:val="18"/>
                <w:szCs w:val="18"/>
              </w:rPr>
              <w:t xml:space="preserve">[8]</w:t>
            </w:r>
          </w:p>
        </w:tc>
        <w:tc>
          <w:tcPr>
            <w:tcW w:type="dxa" w:w="8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center"/>
            </w:pPr>
            <w:r>
              <w:rPr>
                <w:b/>
                <w:bCs/>
                <w:color w:val="000000"/>
                <w:sz w:val="18"/>
                <w:szCs w:val="18"/>
              </w:rPr>
              <w:t xml:space="preserve">T2</w:t>
            </w:r>
          </w:p>
        </w:tc>
        <w:tc>
          <w:tcPr>
            <w:tcW w:type="dxa" w:w="20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Liu X. et al., 2024</w:t>
            </w:r>
          </w:p>
        </w:tc>
        <w:tc>
          <w:tcPr>
            <w:tcW w:type="dxa" w:w="23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Multimodal (texto + tabular)</w:t>
            </w:r>
          </w:p>
        </w:tc>
        <w:tc>
          <w:tcPr>
            <w:tcW w:type="dxa" w:w="170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AUC-ROC multimodal</w:t>
            </w:r>
          </w:p>
        </w:tc>
        <w:tc>
          <w:tcPr>
            <w:tcW w:type="dxa" w:w="1860"/>
            <w:tcBorders>
              <w:top w:val="single" w:color="808080" w:sz="4"/>
              <w:left w:val="single" w:color="808080" w:sz="4"/>
              <w:bottom w:val="single" w:color="808080" w:sz="4"/>
              <w:right w:val="single" w:color="808080" w:sz="4"/>
            </w:tcBorders>
            <w:shd w:fill="FFF2CC" w:val="clear"/>
            <w:tcMar>
              <w:top w:type="dxa" w:w="80"/>
              <w:left w:type="dxa" w:w="120"/>
              <w:bottom w:type="dxa" w:w="80"/>
              <w:right w:type="dxa" w:w="120"/>
            </w:tcMar>
          </w:tcPr>
          <w:p>
            <w:pPr>
              <w:jc w:val="left"/>
            </w:pPr>
            <w:r>
              <w:rPr>
                <w:b w:val="false"/>
                <w:bCs w:val="false"/>
                <w:color w:val="000000"/>
                <w:sz w:val="18"/>
                <w:szCs w:val="18"/>
              </w:rPr>
              <w:t xml:space="preserve">AUC-ROC &gt; unimodal (sig.)</w:t>
            </w:r>
          </w:p>
        </w:tc>
      </w:tr>
      <w:tr>
        <w:tc>
          <w:tcPr>
            <w:tcW w:type="dxa" w:w="7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center"/>
            </w:pPr>
            <w:r>
              <w:rPr>
                <w:b/>
                <w:bCs/>
                <w:color w:val="000000"/>
                <w:sz w:val="18"/>
                <w:szCs w:val="18"/>
              </w:rPr>
              <w:t xml:space="preserve">[9]</w:t>
            </w:r>
          </w:p>
        </w:tc>
        <w:tc>
          <w:tcPr>
            <w:tcW w:type="dxa" w:w="8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center"/>
            </w:pPr>
            <w:r>
              <w:rPr>
                <w:b/>
                <w:bCs/>
                <w:color w:val="000000"/>
                <w:sz w:val="18"/>
                <w:szCs w:val="18"/>
              </w:rPr>
              <w:t xml:space="preserve">T3</w:t>
            </w:r>
          </w:p>
        </w:tc>
        <w:tc>
          <w:tcPr>
            <w:tcW w:type="dxa" w:w="20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Liu H.C. et al., 2023</w:t>
            </w:r>
          </w:p>
        </w:tc>
        <w:tc>
          <w:tcPr>
            <w:tcW w:type="dxa" w:w="23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Revisión narrativa de FMEA</w:t>
            </w:r>
          </w:p>
        </w:tc>
        <w:tc>
          <w:tcPr>
            <w:tcW w:type="dxa" w:w="17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RPN cualitativo</w:t>
            </w:r>
          </w:p>
        </w:tc>
        <w:tc>
          <w:tcPr>
            <w:tcW w:type="dxa" w:w="186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Limitaciones de RPN identificadas</w:t>
            </w:r>
          </w:p>
        </w:tc>
      </w:tr>
      <w:tr>
        <w:tc>
          <w:tcPr>
            <w:tcW w:type="dxa" w:w="7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center"/>
            </w:pPr>
            <w:r>
              <w:rPr>
                <w:b/>
                <w:bCs/>
                <w:color w:val="000000"/>
                <w:sz w:val="18"/>
                <w:szCs w:val="18"/>
              </w:rPr>
              <w:t xml:space="preserve">[10]</w:t>
            </w:r>
          </w:p>
        </w:tc>
        <w:tc>
          <w:tcPr>
            <w:tcW w:type="dxa" w:w="8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center"/>
            </w:pPr>
            <w:r>
              <w:rPr>
                <w:b/>
                <w:bCs/>
                <w:color w:val="000000"/>
                <w:sz w:val="18"/>
                <w:szCs w:val="18"/>
              </w:rPr>
              <w:t xml:space="preserve">T3</w:t>
            </w:r>
          </w:p>
        </w:tc>
        <w:tc>
          <w:tcPr>
            <w:tcW w:type="dxa" w:w="20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Kovačević et al., 2024</w:t>
            </w:r>
          </w:p>
        </w:tc>
        <w:tc>
          <w:tcPr>
            <w:tcW w:type="dxa" w:w="23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DSS Fuzzy + ANN + SVM</w:t>
            </w:r>
          </w:p>
        </w:tc>
        <w:tc>
          <w:tcPr>
            <w:tcW w:type="dxa" w:w="17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Kappa, tiempo</w:t>
            </w:r>
          </w:p>
        </w:tc>
        <w:tc>
          <w:tcPr>
            <w:tcW w:type="dxa" w:w="186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Tiempo -40 %, kappa &gt; 0.7</w:t>
            </w:r>
          </w:p>
        </w:tc>
      </w:tr>
      <w:tr>
        <w:tc>
          <w:tcPr>
            <w:tcW w:type="dxa" w:w="7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center"/>
            </w:pPr>
            <w:r>
              <w:rPr>
                <w:b/>
                <w:bCs/>
                <w:color w:val="000000"/>
                <w:sz w:val="18"/>
                <w:szCs w:val="18"/>
              </w:rPr>
              <w:t xml:space="preserve">[11]</w:t>
            </w:r>
          </w:p>
        </w:tc>
        <w:tc>
          <w:tcPr>
            <w:tcW w:type="dxa" w:w="8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center"/>
            </w:pPr>
            <w:r>
              <w:rPr>
                <w:b/>
                <w:bCs/>
                <w:color w:val="000000"/>
                <w:sz w:val="18"/>
                <w:szCs w:val="18"/>
              </w:rPr>
              <w:t xml:space="preserve">T3</w:t>
            </w:r>
          </w:p>
        </w:tc>
        <w:tc>
          <w:tcPr>
            <w:tcW w:type="dxa" w:w="20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Khan et al., 2025</w:t>
            </w:r>
          </w:p>
        </w:tc>
        <w:tc>
          <w:tcPr>
            <w:tcW w:type="dxa" w:w="23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Revisión sistemática 200+ estudios</w:t>
            </w:r>
          </w:p>
        </w:tc>
        <w:tc>
          <w:tcPr>
            <w:tcW w:type="dxa" w:w="17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Cobertura sistemática</w:t>
            </w:r>
          </w:p>
        </w:tc>
        <w:tc>
          <w:tcPr>
            <w:tcW w:type="dxa" w:w="186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Gap normativo-institucional</w:t>
            </w:r>
          </w:p>
        </w:tc>
      </w:tr>
      <w:tr>
        <w:tc>
          <w:tcPr>
            <w:tcW w:type="dxa" w:w="7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center"/>
            </w:pPr>
            <w:r>
              <w:rPr>
                <w:b/>
                <w:bCs/>
                <w:color w:val="000000"/>
                <w:sz w:val="18"/>
                <w:szCs w:val="18"/>
              </w:rPr>
              <w:t xml:space="preserve">[12]</w:t>
            </w:r>
          </w:p>
        </w:tc>
        <w:tc>
          <w:tcPr>
            <w:tcW w:type="dxa" w:w="8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center"/>
            </w:pPr>
            <w:r>
              <w:rPr>
                <w:b/>
                <w:bCs/>
                <w:color w:val="000000"/>
                <w:sz w:val="18"/>
                <w:szCs w:val="18"/>
              </w:rPr>
              <w:t xml:space="preserve">T3</w:t>
            </w:r>
          </w:p>
        </w:tc>
        <w:tc>
          <w:tcPr>
            <w:tcW w:type="dxa" w:w="20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Ferrara et al., 2024</w:t>
            </w:r>
          </w:p>
        </w:tc>
        <w:tc>
          <w:tcPr>
            <w:tcW w:type="dxa" w:w="23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Revisión sistemática IA-riesgo</w:t>
            </w:r>
          </w:p>
        </w:tc>
        <w:tc>
          <w:tcPr>
            <w:tcW w:type="dxa" w:w="170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Cobertura cualitativa</w:t>
            </w:r>
          </w:p>
        </w:tc>
        <w:tc>
          <w:tcPr>
            <w:tcW w:type="dxa" w:w="1860"/>
            <w:tcBorders>
              <w:top w:val="single" w:color="808080" w:sz="4"/>
              <w:left w:val="single" w:color="808080" w:sz="4"/>
              <w:bottom w:val="single" w:color="808080" w:sz="4"/>
              <w:right w:val="single" w:color="808080" w:sz="4"/>
            </w:tcBorders>
            <w:shd w:fill="FCE4D6" w:val="clear"/>
            <w:tcMar>
              <w:top w:type="dxa" w:w="80"/>
              <w:left w:type="dxa" w:w="120"/>
              <w:bottom w:type="dxa" w:w="80"/>
              <w:right w:type="dxa" w:w="120"/>
            </w:tcMar>
          </w:tcPr>
          <w:p>
            <w:pPr>
              <w:jc w:val="left"/>
            </w:pPr>
            <w:r>
              <w:rPr>
                <w:b w:val="false"/>
                <w:bCs w:val="false"/>
                <w:color w:val="000000"/>
                <w:sz w:val="18"/>
                <w:szCs w:val="18"/>
              </w:rPr>
              <w:t xml:space="preserve">Convergencia IA-gobernanza identificada</w:t>
            </w:r>
          </w:p>
        </w:tc>
      </w:tr>
    </w:tbl>
    <w:p>
      <w:r>
        <w:br w:type="page"/>
      </w:r>
    </w:p>
    <w:p>
      <w:pPr>
        <w:pStyle w:val="Heading1"/>
        <w:spacing w:after="200" w:before="360"/>
      </w:pPr>
      <w:r>
        <w:rPr>
          <w:b/>
          <w:bCs/>
          <w:color w:val="1F3864"/>
          <w:sz w:val="32"/>
          <w:szCs w:val="32"/>
        </w:rPr>
        <w:t xml:space="preserve">3. Desarrollo de la investigación</w:t>
      </w:r>
    </w:p>
    <w:p>
      <w:pPr>
        <w:spacing w:after="120" w:line="320"/>
        <w:jc w:val="both"/>
      </w:pPr>
      <w:r>
        <w:rPr>
          <w:b w:val="false"/>
          <w:bCs w:val="false"/>
          <w:i w:val="false"/>
          <w:iCs w:val="false"/>
          <w:sz w:val="22"/>
          <w:szCs w:val="22"/>
        </w:rPr>
        <w:t xml:space="preserve">Esta sección sintetiza los hallazgos de los doce artículos y articula explícitamente la contribución de la presente propuesta de tesis al conocimiento científico, técnico, aplicado y social. Por convención, el contenido de esta sección corresponde íntegramente a análisis e interpretación del autor; las afirmaciones específicas atribuibles a los autores revisados se citan entre comillas latinas con su referencia numerada.</w:t>
      </w:r>
    </w:p>
    <w:p>
      <w:pPr>
        <w:pStyle w:val="Heading2"/>
        <w:spacing w:after="160" w:before="280"/>
      </w:pPr>
      <w:r>
        <w:rPr>
          <w:b/>
          <w:bCs/>
          <w:color w:val="2E74B5"/>
          <w:sz w:val="26"/>
          <w:szCs w:val="26"/>
        </w:rPr>
        <w:t xml:space="preserve">3.1 Estado del arte sintetizado</w:t>
      </w:r>
    </w:p>
    <w:p>
      <w:pPr>
        <w:spacing w:after="120" w:line="320"/>
        <w:jc w:val="both"/>
      </w:pPr>
      <w:r>
        <w:rPr>
          <w:b w:val="false"/>
          <w:bCs w:val="false"/>
          <w:i w:val="false"/>
          <w:iCs w:val="false"/>
          <w:sz w:val="22"/>
          <w:szCs w:val="22"/>
        </w:rPr>
        <w:t xml:space="preserve">La literatura científica reciente (2023-2025) sobre detección automatizada de eventos adversos y priorización de riesgo en salud presenta cuatro líneas de avance consolidadas y mutuamente complementarias.</w:t>
      </w:r>
    </w:p>
    <w:p>
      <w:pPr>
        <w:spacing w:after="120" w:line="320"/>
        <w:jc w:val="both"/>
      </w:pPr>
      <w:r>
        <w:rPr>
          <w:b w:val="false"/>
          <w:bCs w:val="false"/>
          <w:i w:val="false"/>
          <w:iCs w:val="false"/>
          <w:sz w:val="22"/>
          <w:szCs w:val="22"/>
        </w:rPr>
        <w:t xml:space="preserve">La primera línea, evidenciada por Modi &amp; Feldman [1], Wang et al. [2], Mahendran et al. [3] y Campillos-Llanos [4], establece que el procesamiento de lenguaje natural sobre notas clínicas no estructuradas ha alcanzado madurez metodológica suficiente para producir extracción confiable de eventos adversos, particularmente cuando se utilizan transformers biomédicos preentrenados (BioBERT, ClinicalBERT) con fine-tuning específico de tarea. Para el caso del castellano, MedLexSp y herramientas asociadas demuestran que existen recursos lingüísticos suficientes para construir flujos de procesamiento NLP en español, aunque con menor madurez que el ecosistema en inglés.</w:t>
      </w:r>
    </w:p>
    <w:p>
      <w:pPr>
        <w:spacing w:after="120" w:line="320"/>
        <w:jc w:val="both"/>
      </w:pPr>
      <w:r>
        <w:rPr>
          <w:b w:val="false"/>
          <w:bCs w:val="false"/>
          <w:i w:val="false"/>
          <w:iCs w:val="false"/>
          <w:sz w:val="22"/>
          <w:szCs w:val="22"/>
        </w:rPr>
        <w:t xml:space="preserve">La segunda línea, articulada por Johnson et al. [5], van Aken et al. [6] y Hu et al. [7], consolida a MIMIC-IV como el dataset público de referencia para investigación reproducible en informática biomédica. Las tres referencias permiten anclar las decisiones metodológicas de la tesis: el uso de MIMIC-IV está justificado por consenso del campo, los benchmarks recientes establecen métricas de comparación claras (AUC-ROC entre 0.80 y 0.92 según tarea) y los algoritmos óptimos están identificados (transformers biomédicos para texto, Random Forest y XGBoost para datos tabulares).</w:t>
      </w:r>
    </w:p>
    <w:p>
      <w:pPr>
        <w:spacing w:after="120" w:line="320"/>
        <w:jc w:val="both"/>
      </w:pPr>
      <w:r>
        <w:rPr>
          <w:b w:val="false"/>
          <w:bCs w:val="false"/>
          <w:i w:val="false"/>
          <w:iCs w:val="false"/>
          <w:sz w:val="22"/>
          <w:szCs w:val="22"/>
        </w:rPr>
        <w:t xml:space="preserve">La tercera línea, demostrada por Liu et al. [8], avanza el estado del arte hacia arquitecturas multimodales que combinan notas clínicas no estructuradas y datos tabulares estructurados. Esta evidencia es particularmente relevante para la presente tesis, ya que la Matriz de Priorización GEMSES requiere insumos textuales (descripción del evento, contexto clínico) y tabulares (estancia, costos, complicaciones, satisfacción) simultáneamente. La arquitectura multimodal de Liu et al. constituye, por tanto, el antecedente directo del flujo de procesamiento (pipeline) de dos etapas propuesto.</w:t>
      </w:r>
    </w:p>
    <w:p>
      <w:pPr>
        <w:spacing w:after="120" w:line="320"/>
        <w:jc w:val="both"/>
      </w:pPr>
      <w:r>
        <w:rPr>
          <w:b w:val="false"/>
          <w:bCs w:val="false"/>
          <w:i w:val="false"/>
          <w:iCs w:val="false"/>
          <w:sz w:val="22"/>
          <w:szCs w:val="22"/>
        </w:rPr>
        <w:t xml:space="preserve">La cuarta línea, sostenida por Liu H.C. et al. [9], Kovačević et al. [10], Khan et al. [11] y Ferrara et al. [12], establece que la familia de modelos FMEA y matrices de riesgo constituye el marco institucional dominante en gestión sanitaria, pero su cálculo manual del Risk Priority Number sufre de subjetividad e inconsistencia. La automatización mediante IA es viable y supera el cálculo manual, pero requiere alineación con marcos normativos institucionales para que los resultados sean adoptados clínicamente. Esta cuarta línea es la que conecta directamente con el Modelo GEMSES, que constituye una variante institucional sofisticada de Healthcare FMEA, normada en la Directiva GG-ESSALUD-2021.</w:t>
      </w:r>
    </w:p>
    <w:p>
      <w:pPr>
        <w:pStyle w:val="Heading2"/>
        <w:spacing w:after="160" w:before="280"/>
      </w:pPr>
      <w:r>
        <w:rPr>
          <w:b/>
          <w:bCs/>
          <w:color w:val="2E74B5"/>
          <w:sz w:val="26"/>
          <w:szCs w:val="26"/>
        </w:rPr>
        <w:t xml:space="preserve">3.2 Convergencias identificadas</w:t>
      </w:r>
    </w:p>
    <w:p>
      <w:pPr>
        <w:spacing w:after="120" w:line="320"/>
        <w:jc w:val="both"/>
      </w:pPr>
      <w:r>
        <w:rPr>
          <w:b w:val="false"/>
          <w:bCs w:val="false"/>
          <w:i w:val="false"/>
          <w:iCs w:val="false"/>
          <w:sz w:val="22"/>
          <w:szCs w:val="22"/>
        </w:rPr>
        <w:t xml:space="preserve">Convergencia 1 — Los modelos transformer biomédicos preentrenados constituyen el estado del arte para extracción de eventos adversos desde notas clínicas no estructuradas, con desempeños F1 entre 0.78 y 0.92 según la tarea (referencias [1], [2], [3], [6], [8]).</w:t>
      </w:r>
    </w:p>
    <w:p>
      <w:pPr>
        <w:spacing w:after="120" w:line="320"/>
        <w:jc w:val="both"/>
      </w:pPr>
      <w:r>
        <w:rPr>
          <w:b w:val="false"/>
          <w:bCs w:val="false"/>
          <w:i w:val="false"/>
          <w:iCs w:val="false"/>
          <w:sz w:val="22"/>
          <w:szCs w:val="22"/>
        </w:rPr>
        <w:t xml:space="preserve">Convergencia 2 — MIMIC-IV se ha consolidado como la fuente de validación pública más reproducible y multicéntrica del campo, con benchmarks actualizados disponibles para las tareas de predicción de outcomes clínicos (referencias [5], [6], [7], [8]).</w:t>
      </w:r>
    </w:p>
    <w:p>
      <w:pPr>
        <w:spacing w:after="120" w:line="320"/>
        <w:jc w:val="both"/>
      </w:pPr>
      <w:r>
        <w:rPr>
          <w:b w:val="false"/>
          <w:bCs w:val="false"/>
          <w:i w:val="false"/>
          <w:iCs w:val="false"/>
          <w:sz w:val="22"/>
          <w:szCs w:val="22"/>
        </w:rPr>
        <w:t xml:space="preserve">Convergencia 3 — La arquitectura multimodal (texto no estructurado + datos tabulares estructurados) supera consistentemente a las arquitecturas unimodales en evaluación pronóstica clínica (referencia [8] y, parcialmente, [6]).</w:t>
      </w:r>
    </w:p>
    <w:p>
      <w:pPr>
        <w:spacing w:after="120" w:line="320"/>
        <w:jc w:val="both"/>
      </w:pPr>
      <w:r>
        <w:rPr>
          <w:b w:val="false"/>
          <w:bCs w:val="false"/>
          <w:i w:val="false"/>
          <w:iCs w:val="false"/>
          <w:sz w:val="22"/>
          <w:szCs w:val="22"/>
        </w:rPr>
        <w:t xml:space="preserve">Convergencia 4 — La automatización de modelos FMEA mediante IA es técnicamente viable, supera al cálculo manual y reduce significativamente el tiempo de evaluación, pero requiere anclaje normativo institucional para adopción clínica efectiva (referencias [9], [10], [11], [12]).</w:t>
      </w:r>
    </w:p>
    <w:p>
      <w:pPr>
        <w:pStyle w:val="Heading2"/>
        <w:spacing w:after="160" w:before="280"/>
      </w:pPr>
      <w:r>
        <w:rPr>
          <w:b/>
          <w:bCs/>
          <w:color w:val="2E74B5"/>
          <w:sz w:val="26"/>
          <w:szCs w:val="26"/>
        </w:rPr>
        <w:t xml:space="preserve">3.3 Tensiones y contradicciones</w:t>
      </w:r>
    </w:p>
    <w:p>
      <w:pPr>
        <w:spacing w:after="120" w:line="320"/>
        <w:jc w:val="both"/>
      </w:pPr>
      <w:r>
        <w:rPr>
          <w:b w:val="false"/>
          <w:bCs w:val="false"/>
          <w:i w:val="false"/>
          <w:iCs w:val="false"/>
          <w:sz w:val="22"/>
          <w:szCs w:val="22"/>
        </w:rPr>
        <w:t xml:space="preserve">La revisión de los doce artículos identifica tres tensiones que la tesis debe resolver explícitamente.</w:t>
      </w:r>
    </w:p>
    <w:p>
      <w:pPr>
        <w:spacing w:after="120" w:line="320"/>
        <w:jc w:val="both"/>
      </w:pPr>
      <w:r>
        <w:rPr>
          <w:b w:val="false"/>
          <w:bCs w:val="false"/>
          <w:i w:val="false"/>
          <w:iCs w:val="false"/>
          <w:sz w:val="22"/>
          <w:szCs w:val="22"/>
        </w:rPr>
        <w:t xml:space="preserve">Tensión 1 — Transformers especializados frente a LLMs generales. Aunque los LLMs (GPT-4, LLaMA) crecen rápidamente en pharmacovigilance [1], van Aken et al. [6] demuestran empíricamente que sin fine-tuning específico de dominio rinden por debajo de transformers biomédicos preentrenados. Resolución metodológica: la tesis privilegia BioBERT/ClinicalBERT como baseline e incluye un LLM general como ablation comparativa.</w:t>
      </w:r>
    </w:p>
    <w:p>
      <w:pPr>
        <w:spacing w:after="120" w:line="320"/>
        <w:jc w:val="both"/>
      </w:pPr>
      <w:r>
        <w:rPr>
          <w:b w:val="false"/>
          <w:bCs w:val="false"/>
          <w:i w:val="false"/>
          <w:iCs w:val="false"/>
          <w:sz w:val="22"/>
          <w:szCs w:val="22"/>
        </w:rPr>
        <w:t xml:space="preserve">Tensión 2 — Datos estructurados frente a no estructurados. Hu et al. [7] privilegian Random Forest y XGBoost sobre features tabulares, mientras Modi &amp; Feldman [1] y Mahendran et al. [3] privilegian deep learning sobre texto libre. La tesis resuelve la tensión adoptando una arquitectura multimodal explícita siguiendo a Liu et al. [8]: texto procesado por transformer y tabular procesado por XGBoost, con fusión por atención.</w:t>
      </w:r>
    </w:p>
    <w:p>
      <w:pPr>
        <w:spacing w:after="120" w:line="320"/>
        <w:jc w:val="both"/>
      </w:pPr>
      <w:r>
        <w:rPr>
          <w:b w:val="false"/>
          <w:bCs w:val="false"/>
          <w:i w:val="false"/>
          <w:iCs w:val="false"/>
          <w:sz w:val="22"/>
          <w:szCs w:val="22"/>
        </w:rPr>
        <w:t xml:space="preserve">Tensión 3 — Automatización plena frente a humano-en-el-loop. La literatura [10], [11], [12] enfatiza que la IA debe complementar, no sustituir, el juicio experto en gestión de riesgo. Resolución metodológica: la tesis define el panel experto humano-en-el-loop como componente obligatorio del Objetivo Específico 4, validando explícitamente la salida del pipeline contra clasificación humana.</w:t>
      </w:r>
    </w:p>
    <w:p>
      <w:pPr>
        <w:pStyle w:val="Heading2"/>
        <w:spacing w:after="160" w:before="280"/>
      </w:pPr>
      <w:r>
        <w:rPr>
          <w:b/>
          <w:bCs/>
          <w:color w:val="2E74B5"/>
          <w:sz w:val="26"/>
          <w:szCs w:val="26"/>
        </w:rPr>
        <w:t xml:space="preserve">3.4 Vacío crítico identificado</w:t>
      </w:r>
    </w:p>
    <w:p>
      <w:pPr>
        <w:spacing w:after="120" w:line="320"/>
        <w:jc w:val="both"/>
      </w:pPr>
      <w:r>
        <w:rPr>
          <w:b w:val="false"/>
          <w:bCs w:val="false"/>
          <w:i w:val="false"/>
          <w:iCs w:val="false"/>
          <w:sz w:val="22"/>
          <w:szCs w:val="22"/>
        </w:rPr>
        <w:t xml:space="preserve">La triangulación de las cuatro convergencias y las tres tensiones permite identificar un vacío específico, único y defendible:</w:t>
      </w:r>
    </w:p>
    <w:p>
      <w:pPr>
        <w:pBdr>
          <w:left w:val="single" w:color="1F3864" w:sz="24" w:space="8"/>
        </w:pBdr>
        <w:shd w:fill="E2EFDA" w:val="clear"/>
        <w:spacing w:after="200" w:before="200" w:line="320"/>
        <w:ind w:left="280" w:right="280"/>
        <w:jc w:val="both"/>
      </w:pPr>
      <w:r>
        <w:rPr>
          <w:i/>
          <w:iCs/>
          <w:sz w:val="22"/>
          <w:szCs w:val="22"/>
        </w:rPr>
        <w:t xml:space="preserve">Ningún estudio publicado entre 2015 y 2025, en las bases consultadas (Scopus, IEEE Xplore, PubMed, ScienceDirect, ACM, Frontiers, Springer, MDPI), conecta simultáneamente: (i) procesamiento de lenguaje natural sobre notas clínicas no estructuradas; (ii) un dataset público y reproducible (MIMIC-IV); (iii) una arquitectura multimodal que integre las dimensiones textual y tabular requeridas por una matriz de priorización; y (iv) la operacionalización automatizada de un modelo de excelencia de gestión sanitaria adoptado normativamente por una institución pública (GEMSES vía Directiva GG-ESSALUD-2021). Esta cuádruple integración constituye el espacio original donde se inserta la presente tesis.</w:t>
      </w:r>
    </w:p>
    <w:p>
      <w:pPr>
        <w:pStyle w:val="Heading2"/>
        <w:spacing w:after="160" w:before="280"/>
      </w:pPr>
      <w:r>
        <w:rPr>
          <w:b/>
          <w:bCs/>
          <w:color w:val="2E74B5"/>
          <w:sz w:val="26"/>
          <w:szCs w:val="26"/>
        </w:rPr>
        <w:t xml:space="preserve">3.5 Aporte específico de la tesis a la investigación</w:t>
      </w:r>
    </w:p>
    <w:p>
      <w:pPr>
        <w:spacing w:after="120" w:line="320"/>
        <w:jc w:val="both"/>
      </w:pPr>
      <w:r>
        <w:rPr>
          <w:b w:val="false"/>
          <w:bCs w:val="false"/>
          <w:i w:val="false"/>
          <w:iCs w:val="false"/>
          <w:sz w:val="22"/>
          <w:szCs w:val="22"/>
        </w:rPr>
        <w:t xml:space="preserve">La contribución de la tesis se articula en cuatro dimensiones complementarias, cada una con resultados verificables y publicables.</w:t>
      </w:r>
    </w:p>
    <w:p>
      <w:pPr>
        <w:pStyle w:val="Heading3"/>
        <w:spacing w:after="120" w:before="200"/>
      </w:pPr>
      <w:r>
        <w:rPr>
          <w:b/>
          <w:bCs/>
          <w:color w:val="2E74B5"/>
          <w:sz w:val="22"/>
          <w:szCs w:val="22"/>
        </w:rPr>
        <w:t xml:space="preserve">3.5.1 Aporte teórico</w:t>
      </w:r>
    </w:p>
    <w:p>
      <w:pPr>
        <w:spacing w:after="120" w:line="320"/>
        <w:jc w:val="both"/>
      </w:pPr>
      <w:r>
        <w:rPr>
          <w:b w:val="false"/>
          <w:bCs w:val="false"/>
          <w:i w:val="false"/>
          <w:iCs w:val="false"/>
          <w:sz w:val="22"/>
          <w:szCs w:val="22"/>
        </w:rPr>
        <w:t xml:space="preserve">Demostrar que un modelo de excelencia en gestión sanitaria publicado y patentado en Latinoamérica (Modelo GEMSES, 2021) puede ser operacionalizado mediante técnicas modernas de IA, manteniendo trazabilidad conceptual entre los nueve principios rectores del modelo y las salidas computacionales del flujo de procesamiento. Este aporte amplía el campo teórico de la gestión sanitaria desde un instrumento cualitativo de mejora continua hacia una herramienta de soporte cuantitativo a la decisión clínica.</w:t>
      </w:r>
    </w:p>
    <w:p>
      <w:pPr>
        <w:pStyle w:val="Heading3"/>
        <w:spacing w:after="120" w:before="200"/>
      </w:pPr>
      <w:r>
        <w:rPr>
          <w:b/>
          <w:bCs/>
          <w:color w:val="2E74B5"/>
          <w:sz w:val="22"/>
          <w:szCs w:val="22"/>
        </w:rPr>
        <w:t xml:space="preserve">3.5.2 Aporte metodológico</w:t>
      </w:r>
    </w:p>
    <w:p>
      <w:pPr>
        <w:spacing w:after="120" w:line="320"/>
        <w:jc w:val="both"/>
      </w:pPr>
      <w:r>
        <w:rPr>
          <w:b w:val="false"/>
          <w:bCs w:val="false"/>
          <w:i w:val="false"/>
          <w:iCs w:val="false"/>
          <w:sz w:val="22"/>
          <w:szCs w:val="22"/>
        </w:rPr>
        <w:t xml:space="preserve">Proponer y validar empíricamente una metodología reproducible que combina: extracción de entidades clínicas mediante transformers biomédicos preentrenados, clasificación supervisada multimodal de la naturaleza del evento, mapeo automatizado a las cuatro dimensiones de la Matriz de Priorización GEMSES, y comparación contra panel experto independiente mediante kappa de Cohen y métricas estándar. Esta metodología articula dos campos que tradicionalmente se han desarrollado por separado: la informática biomédica y la gestión normada de la calidad sanitaria.</w:t>
      </w:r>
    </w:p>
    <w:p>
      <w:pPr>
        <w:pStyle w:val="Heading3"/>
        <w:spacing w:after="120" w:before="200"/>
      </w:pPr>
      <w:r>
        <w:rPr>
          <w:b/>
          <w:bCs/>
          <w:color w:val="2E74B5"/>
          <w:sz w:val="22"/>
          <w:szCs w:val="22"/>
        </w:rPr>
        <w:t xml:space="preserve">3.5.3 Aporte aplicado</w:t>
      </w:r>
    </w:p>
    <w:p>
      <w:pPr>
        <w:spacing w:after="120" w:line="320"/>
        <w:jc w:val="both"/>
      </w:pPr>
      <w:r>
        <w:rPr>
          <w:b w:val="false"/>
          <w:bCs w:val="false"/>
          <w:i w:val="false"/>
          <w:iCs w:val="false"/>
          <w:sz w:val="22"/>
          <w:szCs w:val="22"/>
        </w:rPr>
        <w:t xml:space="preserve">El flujo de procesamiento (pipeline) desarrollado constituye un insumo institucional concreto, transferible a EsSalud y otras IPRESS peruanas, para aliviar el cuello de botella manual en la codificación y priorización de Eventos Relacionados con la Seguridad del Paciente (ERSP) regulados por la Directiva GG-ESSALUD-2021. La transferencia metodológica al castellano (Objetivo Específico 5), apoyada por recursos lingüísticos validados [4], constituye un puente directo entre la investigación académica y la aplicación clínica institucional.</w:t>
      </w:r>
    </w:p>
    <w:p>
      <w:pPr>
        <w:pStyle w:val="Heading3"/>
        <w:spacing w:after="120" w:before="200"/>
      </w:pPr>
      <w:r>
        <w:rPr>
          <w:b/>
          <w:bCs/>
          <w:color w:val="2E74B5"/>
          <w:sz w:val="22"/>
          <w:szCs w:val="22"/>
        </w:rPr>
        <w:t xml:space="preserve">3.5.4 Aporte social</w:t>
      </w:r>
    </w:p>
    <w:p>
      <w:pPr>
        <w:spacing w:after="120" w:line="320"/>
        <w:jc w:val="both"/>
      </w:pPr>
      <w:r>
        <w:rPr>
          <w:b w:val="false"/>
          <w:bCs w:val="false"/>
          <w:i w:val="false"/>
          <w:iCs w:val="false"/>
          <w:sz w:val="22"/>
          <w:szCs w:val="22"/>
        </w:rPr>
        <w:t xml:space="preserve">La mejora en la detección y priorización oportuna de eventos adversos contribuye a la reducción de daños evitables en pacientes, al fortalecimiento de la cultura de seguridad en los servicios de salud y a la materialización del principio normativo establecido en la Directiva GG-ESSALUD-2021: que la información sobre eventos relacionados con la seguridad del paciente debe traducirse en aprendizaje institucional y mejora continua de la atención.</w:t>
      </w:r>
    </w:p>
    <w:p>
      <w:pPr>
        <w:pStyle w:val="Heading2"/>
        <w:spacing w:after="160" w:before="280"/>
      </w:pPr>
      <w:r>
        <w:rPr>
          <w:b/>
          <w:bCs/>
          <w:color w:val="2E74B5"/>
          <w:sz w:val="26"/>
          <w:szCs w:val="26"/>
        </w:rPr>
        <w:t xml:space="preserve">3.6 Operacionalización de la Matriz de Priorización GEMSES</w:t>
      </w:r>
    </w:p>
    <w:p>
      <w:pPr>
        <w:spacing w:after="120" w:line="320"/>
        <w:jc w:val="both"/>
      </w:pPr>
      <w:r>
        <w:rPr>
          <w:b w:val="false"/>
          <w:bCs w:val="false"/>
          <w:i w:val="false"/>
          <w:iCs w:val="false"/>
          <w:sz w:val="22"/>
          <w:szCs w:val="22"/>
        </w:rPr>
        <w:t xml:space="preserve">Una contribución técnica diferenciadora de la tesis es la operacionalización de la Matriz de Priorización del Modelo GEMSES sobre el dataset MIMIC-IV. La fórmula del Impacto, tal como aparece en el Anexo 03 de la Directiva GG-ESSALUD-2021 y en el libro original del Modelo GEMSES (Pérez Pérez, 2021), se reproduce a continuación.</w:t>
      </w:r>
    </w:p>
    <w:p>
      <w:pPr>
        <w:pBdr>
          <w:top w:val="single" w:color="1F3864" w:sz="6" w:space="4"/>
          <w:bottom w:val="single" w:color="1F3864" w:sz="6" w:space="4"/>
        </w:pBdr>
        <w:shd w:fill="F8F8FB" w:val="clear"/>
        <w:spacing w:after="200" w:before="200"/>
        <w:jc w:val="center"/>
      </w:pPr>
      <w:r>
        <w:rPr>
          <w:b/>
          <w:bCs/>
          <w:i/>
          <w:iCs/>
          <w:color w:val="1F3864"/>
          <w:sz w:val="30"/>
          <w:szCs w:val="30"/>
        </w:rPr>
        <w:t xml:space="preserve">G</w:t>
      </w:r>
      <w:r>
        <w:rPr>
          <w:b w:val="false"/>
          <w:bCs w:val="false"/>
          <w:i w:val="false"/>
          <w:iCs w:val="false"/>
          <w:color w:val="1F3864"/>
          <w:sz w:val="28"/>
          <w:szCs w:val="28"/>
        </w:rPr>
        <w:t xml:space="preserve"> = </w:t>
      </w:r>
      <w:r>
        <w:rPr>
          <w:b w:val="false"/>
          <w:bCs w:val="false"/>
          <w:i/>
          <w:iCs/>
          <w:color w:val="1F3864"/>
          <w:sz w:val="26"/>
          <w:szCs w:val="26"/>
        </w:rPr>
        <w:t xml:space="preserve">c</w:t>
      </w:r>
      <w:r>
        <w:rPr>
          <w:b w:val="false"/>
          <w:bCs w:val="false"/>
          <w:i w:val="false"/>
          <w:iCs w:val="false"/>
          <w:color w:val="1F3864"/>
          <w:sz w:val="26"/>
          <w:szCs w:val="26"/>
        </w:rPr>
        <w:t xml:space="preserve"> · 0.40 + </w:t>
      </w:r>
      <w:r>
        <w:rPr>
          <w:b w:val="false"/>
          <w:bCs w:val="false"/>
          <w:i/>
          <w:iCs/>
          <w:color w:val="1F3864"/>
          <w:sz w:val="26"/>
          <w:szCs w:val="26"/>
        </w:rPr>
        <w:t xml:space="preserve">d</w:t>
      </w:r>
      <w:r>
        <w:rPr>
          <w:b w:val="false"/>
          <w:bCs w:val="false"/>
          <w:i w:val="false"/>
          <w:iCs w:val="false"/>
          <w:color w:val="1F3864"/>
          <w:sz w:val="26"/>
          <w:szCs w:val="26"/>
        </w:rPr>
        <w:t xml:space="preserve"> · 0.20 + </w:t>
      </w:r>
      <w:r>
        <w:rPr>
          <w:b w:val="false"/>
          <w:bCs w:val="false"/>
          <w:i/>
          <w:iCs/>
          <w:color w:val="1F3864"/>
          <w:sz w:val="26"/>
          <w:szCs w:val="26"/>
        </w:rPr>
        <w:t xml:space="preserve">e</w:t>
      </w:r>
      <w:r>
        <w:rPr>
          <w:b w:val="false"/>
          <w:bCs w:val="false"/>
          <w:i w:val="false"/>
          <w:iCs w:val="false"/>
          <w:color w:val="1F3864"/>
          <w:sz w:val="26"/>
          <w:szCs w:val="26"/>
        </w:rPr>
        <w:t xml:space="preserve"> · 0.15 + </w:t>
      </w:r>
      <w:r>
        <w:rPr>
          <w:b w:val="false"/>
          <w:bCs w:val="false"/>
          <w:i/>
          <w:iCs/>
          <w:color w:val="1F3864"/>
          <w:sz w:val="26"/>
          <w:szCs w:val="26"/>
        </w:rPr>
        <w:t xml:space="preserve">f</w:t>
      </w:r>
      <w:r>
        <w:rPr>
          <w:b w:val="false"/>
          <w:bCs w:val="false"/>
          <w:i w:val="false"/>
          <w:iCs w:val="false"/>
          <w:color w:val="1F3864"/>
          <w:sz w:val="26"/>
          <w:szCs w:val="26"/>
        </w:rPr>
        <w:t xml:space="preserve"> · 0.25</w:t>
      </w:r>
    </w:p>
    <w:p>
      <w:pPr>
        <w:spacing w:after="240"/>
        <w:jc w:val="center"/>
      </w:pPr>
      <w:r>
        <w:rPr>
          <w:b/>
          <w:bCs/>
          <w:i/>
          <w:iCs/>
          <w:color w:val="808080"/>
          <w:sz w:val="18"/>
          <w:szCs w:val="18"/>
        </w:rPr>
        <w:t xml:space="preserve">Ecuación 8. </w:t>
      </w:r>
      <w:r>
        <w:rPr>
          <w:i/>
          <w:iCs/>
          <w:color w:val="808080"/>
          <w:sz w:val="18"/>
          <w:szCs w:val="18"/>
        </w:rPr>
        <w:t xml:space="preserve">Fórmula del Impacto en la Matriz de Priorización GEMSES. c = Tiempo (peso 0.40), d = Calidad (peso 0.20), e = Costos (peso 0.15), f = Satisfacción (peso 0.25). Σ pesos = 1.</w:t>
      </w:r>
    </w:p>
    <w:p>
      <w:pPr>
        <w:spacing w:after="120" w:line="320"/>
        <w:jc w:val="both"/>
      </w:pPr>
      <w:r>
        <w:rPr>
          <w:b w:val="false"/>
          <w:bCs w:val="false"/>
          <w:i w:val="false"/>
          <w:iCs w:val="false"/>
          <w:sz w:val="22"/>
          <w:szCs w:val="22"/>
        </w:rPr>
        <w:t xml:space="preserve">A partir del Impacto se derivan dos indicadores adicionales reportados en la Directiva GG-ESSALUD-2021: el Nivel de Riesgo y el Nivel de Gestión.</w:t>
      </w:r>
    </w:p>
    <w:p>
      <w:pPr>
        <w:pBdr>
          <w:top w:val="single" w:color="1F3864" w:sz="6" w:space="4"/>
          <w:bottom w:val="single" w:color="1F3864" w:sz="6" w:space="4"/>
        </w:pBdr>
        <w:shd w:fill="F8F8FB" w:val="clear"/>
        <w:spacing w:after="200" w:before="200"/>
        <w:jc w:val="center"/>
      </w:pPr>
      <w:r>
        <w:rPr>
          <w:b/>
          <w:bCs/>
          <w:i/>
          <w:iCs/>
          <w:color w:val="1F3864"/>
          <w:sz w:val="30"/>
          <w:szCs w:val="30"/>
        </w:rPr>
        <w:t xml:space="preserve">H</w:t>
      </w:r>
      <w:r>
        <w:rPr>
          <w:b w:val="false"/>
          <w:bCs w:val="false"/>
          <w:i w:val="false"/>
          <w:iCs w:val="false"/>
          <w:color w:val="1F3864"/>
          <w:sz w:val="28"/>
          <w:szCs w:val="28"/>
        </w:rPr>
        <w:t xml:space="preserve"> = </w:t>
      </w:r>
      <w:r>
        <w:rPr>
          <w:b w:val="false"/>
          <w:bCs w:val="false"/>
          <w:i/>
          <w:iCs/>
          <w:color w:val="1F3864"/>
          <w:sz w:val="26"/>
          <w:szCs w:val="26"/>
        </w:rPr>
        <w:t xml:space="preserve">B</w:t>
      </w:r>
      <w:r>
        <w:rPr>
          <w:b w:val="false"/>
          <w:bCs w:val="false"/>
          <w:i w:val="false"/>
          <w:iCs w:val="false"/>
          <w:color w:val="1F3864"/>
          <w:sz w:val="26"/>
          <w:szCs w:val="26"/>
        </w:rPr>
        <w:t xml:space="preserve"> · </w:t>
      </w:r>
      <w:r>
        <w:rPr>
          <w:b w:val="false"/>
          <w:bCs w:val="false"/>
          <w:i/>
          <w:iCs/>
          <w:color w:val="1F3864"/>
          <w:sz w:val="26"/>
          <w:szCs w:val="26"/>
        </w:rPr>
        <w:t xml:space="preserve">G</w:t>
      </w:r>
    </w:p>
    <w:p>
      <w:pPr>
        <w:spacing w:after="240"/>
        <w:jc w:val="center"/>
      </w:pPr>
      <w:r>
        <w:rPr>
          <w:b/>
          <w:bCs/>
          <w:i/>
          <w:iCs/>
          <w:color w:val="808080"/>
          <w:sz w:val="18"/>
          <w:szCs w:val="18"/>
        </w:rPr>
        <w:t xml:space="preserve">Ecuación 9. </w:t>
      </w:r>
      <w:r>
        <w:rPr>
          <w:i/>
          <w:iCs/>
          <w:color w:val="808080"/>
          <w:sz w:val="18"/>
          <w:szCs w:val="18"/>
        </w:rPr>
        <w:t xml:space="preserve">Nivel de Riesgo H, donde B es el índice de frecuencia del evento y G el Impacto.</w:t>
      </w:r>
    </w:p>
    <w:p>
      <w:pPr>
        <w:pBdr>
          <w:top w:val="single" w:color="1F3864" w:sz="6" w:space="4"/>
          <w:bottom w:val="single" w:color="1F3864" w:sz="6" w:space="4"/>
        </w:pBdr>
        <w:shd w:fill="F8F8FB" w:val="clear"/>
        <w:spacing w:after="200" w:before="200"/>
        <w:jc w:val="center"/>
      </w:pPr>
      <w:r>
        <w:rPr>
          <w:b/>
          <w:bCs/>
          <w:i/>
          <w:iCs/>
          <w:color w:val="1F3864"/>
          <w:sz w:val="30"/>
          <w:szCs w:val="30"/>
        </w:rPr>
        <w:t xml:space="preserve">I</w:t>
      </w:r>
      <w:r>
        <w:rPr>
          <w:b w:val="false"/>
          <w:bCs w:val="false"/>
          <w:i w:val="false"/>
          <w:iCs w:val="false"/>
          <w:color w:val="1F3864"/>
          <w:sz w:val="28"/>
          <w:szCs w:val="28"/>
        </w:rPr>
        <w:t xml:space="preserve"> = </w:t>
      </w:r>
      <w:r>
        <w:rPr>
          <w:b w:val="false"/>
          <w:bCs w:val="false"/>
          <w:i/>
          <w:iCs/>
          <w:color w:val="1F3864"/>
          <w:sz w:val="26"/>
          <w:szCs w:val="26"/>
        </w:rPr>
        <w:t xml:space="preserve">H</w:t>
      </w:r>
      <w:r>
        <w:rPr>
          <w:b w:val="false"/>
          <w:bCs w:val="false"/>
          <w:i w:val="false"/>
          <w:iCs w:val="false"/>
          <w:color w:val="1F3864"/>
          <w:sz w:val="26"/>
          <w:szCs w:val="26"/>
        </w:rPr>
        <w:t xml:space="preserve"> ÷ </w:t>
      </w:r>
      <w:r>
        <w:rPr>
          <w:b w:val="false"/>
          <w:bCs w:val="false"/>
          <w:i w:val="false"/>
          <w:iCs w:val="false"/>
          <w:color w:val="1F3864"/>
          <w:sz w:val="28"/>
          <w:szCs w:val="28"/>
        </w:rPr>
        <w:t xml:space="preserve">Σ</w:t>
      </w:r>
      <w:r>
        <w:rPr>
          <w:b w:val="false"/>
          <w:bCs w:val="false"/>
          <w:i/>
          <w:iCs/>
          <w:color w:val="1F3864"/>
          <w:sz w:val="24"/>
          <w:szCs w:val="24"/>
        </w:rPr>
        <w:t xml:space="preserve">h</w:t>
      </w:r>
    </w:p>
    <w:p>
      <w:pPr>
        <w:spacing w:after="240"/>
        <w:jc w:val="center"/>
      </w:pPr>
      <w:r>
        <w:rPr>
          <w:b/>
          <w:bCs/>
          <w:i/>
          <w:iCs/>
          <w:color w:val="808080"/>
          <w:sz w:val="18"/>
          <w:szCs w:val="18"/>
        </w:rPr>
        <w:t xml:space="preserve">Ecuación 10. </w:t>
      </w:r>
      <w:r>
        <w:rPr>
          <w:i/>
          <w:iCs/>
          <w:color w:val="808080"/>
          <w:sz w:val="18"/>
          <w:szCs w:val="18"/>
        </w:rPr>
        <w:t xml:space="preserve">Índice de Gestión I, normalizado por la suma de niveles de riesgo del conjunto de eventos.</w:t>
      </w:r>
    </w:p>
    <w:p>
      <w:pPr>
        <w:pBdr>
          <w:top w:val="single" w:color="1F3864" w:sz="6" w:space="4"/>
          <w:bottom w:val="single" w:color="1F3864" w:sz="6" w:space="4"/>
        </w:pBdr>
        <w:shd w:fill="F8F8FB" w:val="clear"/>
        <w:spacing w:after="200" w:before="200"/>
        <w:jc w:val="center"/>
      </w:pPr>
      <w:r>
        <w:rPr>
          <w:b/>
          <w:bCs/>
          <w:i/>
          <w:iCs/>
          <w:color w:val="1F3864"/>
          <w:sz w:val="30"/>
          <w:szCs w:val="30"/>
        </w:rPr>
        <w:t xml:space="preserve">J</w:t>
      </w:r>
      <w:r>
        <w:rPr>
          <w:b w:val="false"/>
          <w:bCs w:val="false"/>
          <w:i w:val="false"/>
          <w:iCs w:val="false"/>
          <w:color w:val="1F3864"/>
          <w:sz w:val="28"/>
          <w:szCs w:val="28"/>
        </w:rPr>
        <w:t xml:space="preserve"> = </w:t>
      </w:r>
      <w:r>
        <w:rPr>
          <w:b w:val="false"/>
          <w:bCs w:val="false"/>
          <w:i/>
          <w:iCs/>
          <w:color w:val="1F3864"/>
          <w:sz w:val="26"/>
          <w:szCs w:val="26"/>
        </w:rPr>
        <w:t xml:space="preserve">I</w:t>
      </w:r>
      <w:r>
        <w:rPr>
          <w:b w:val="false"/>
          <w:bCs w:val="false"/>
          <w:i w:val="false"/>
          <w:iCs w:val="false"/>
          <w:color w:val="1F3864"/>
          <w:sz w:val="26"/>
          <w:szCs w:val="26"/>
        </w:rPr>
        <w:t xml:space="preserve"> × 100</w:t>
      </w:r>
    </w:p>
    <w:p>
      <w:pPr>
        <w:spacing w:after="240"/>
        <w:jc w:val="center"/>
      </w:pPr>
      <w:r>
        <w:rPr>
          <w:b/>
          <w:bCs/>
          <w:i/>
          <w:iCs/>
          <w:color w:val="808080"/>
          <w:sz w:val="18"/>
          <w:szCs w:val="18"/>
        </w:rPr>
        <w:t xml:space="preserve">Ecuación 11. </w:t>
      </w:r>
      <w:r>
        <w:rPr>
          <w:i/>
          <w:iCs/>
          <w:color w:val="808080"/>
          <w:sz w:val="18"/>
          <w:szCs w:val="18"/>
        </w:rPr>
        <w:t xml:space="preserve">Nivel de Gestión J, expresado como porcentaje. Su valor se mapea a percentiles P25 (Verde, bajo impacto: Servicios), P50 (Amarillo, mediano impacto: Departamentos) y P75 (Rojo, alto impacto: Director del establecimiento).</w:t>
      </w:r>
    </w:p>
    <w:p>
      <w:pPr>
        <w:spacing w:after="120" w:line="320"/>
        <w:jc w:val="both"/>
      </w:pPr>
      <w:r>
        <w:rPr>
          <w:b w:val="false"/>
          <w:bCs w:val="false"/>
          <w:i w:val="false"/>
          <w:iCs w:val="false"/>
          <w:sz w:val="22"/>
          <w:szCs w:val="22"/>
        </w:rPr>
        <w:t xml:space="preserve">La siguiente tabla resume la equivalencia propuesta por el autor para operacionalizar las cuatro dimensiones de la Matriz GEMSES sobre variables observables en MIMIC-IV. Cada equivalencia está justificada teóricamente y respaldada por la literatura revisada.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center"/>
            </w:pPr>
            <w:r>
              <w:rPr>
                <w:b/>
                <w:bCs/>
                <w:color w:val="FFFFFF"/>
                <w:sz w:val="18"/>
                <w:szCs w:val="18"/>
              </w:rPr>
              <w:t xml:space="preserve">Dimensión GEMSES</w:t>
            </w:r>
          </w:p>
        </w:tc>
        <w:tc>
          <w:tcPr>
            <w:tcW w:type="dxa" w:w="8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center"/>
            </w:pPr>
            <w:r>
              <w:rPr>
                <w:b/>
                <w:bCs/>
                <w:color w:val="FFFFFF"/>
                <w:sz w:val="18"/>
                <w:szCs w:val="18"/>
              </w:rPr>
              <w:t xml:space="preserve">Peso</w:t>
            </w:r>
          </w:p>
        </w:tc>
        <w:tc>
          <w:tcPr>
            <w:tcW w:type="dxa" w:w="350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left"/>
            </w:pPr>
            <w:r>
              <w:rPr>
                <w:b/>
                <w:bCs/>
                <w:color w:val="FFFFFF"/>
                <w:sz w:val="18"/>
                <w:szCs w:val="18"/>
              </w:rPr>
              <w:t xml:space="preserve">Variable proxy en MIMIC-IV</w:t>
            </w:r>
          </w:p>
        </w:tc>
        <w:tc>
          <w:tcPr>
            <w:tcW w:type="dxa" w:w="3560"/>
            <w:tcBorders>
              <w:top w:val="single" w:color="808080" w:sz="4"/>
              <w:left w:val="single" w:color="808080" w:sz="4"/>
              <w:bottom w:val="single" w:color="808080" w:sz="4"/>
              <w:right w:val="single" w:color="808080" w:sz="4"/>
            </w:tcBorders>
            <w:shd w:fill="1F3864" w:val="clear"/>
            <w:tcMar>
              <w:top w:type="dxa" w:w="80"/>
              <w:left w:type="dxa" w:w="120"/>
              <w:bottom w:type="dxa" w:w="80"/>
              <w:right w:type="dxa" w:w="120"/>
            </w:tcMar>
          </w:tcPr>
          <w:p>
            <w:pPr>
              <w:jc w:val="left"/>
            </w:pPr>
            <w:r>
              <w:rPr>
                <w:b/>
                <w:bCs/>
                <w:color w:val="FFFFFF"/>
                <w:sz w:val="18"/>
                <w:szCs w:val="18"/>
              </w:rPr>
              <w:t xml:space="preserve">Justificación basada en literatura</w:t>
            </w:r>
          </w:p>
        </w:tc>
      </w:tr>
      <w:tr>
        <w:tc>
          <w:tcPr>
            <w:tcW w:type="dxa" w:w="15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bCs/>
                <w:color w:val="000000"/>
                <w:sz w:val="18"/>
                <w:szCs w:val="18"/>
              </w:rPr>
              <w:t xml:space="preserve">Tiempo (c)</w:t>
            </w:r>
          </w:p>
        </w:tc>
        <w:tc>
          <w:tcPr>
            <w:tcW w:type="dxa" w:w="8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center"/>
            </w:pPr>
            <w:r>
              <w:rPr>
                <w:b/>
                <w:bCs/>
                <w:color w:val="000000"/>
                <w:sz w:val="18"/>
                <w:szCs w:val="18"/>
              </w:rPr>
              <w:t xml:space="preserve">0.40</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Length of stay (LOS) prolongado más allá de la mediana del DRG correspondiente</w:t>
            </w:r>
          </w:p>
        </w:tc>
        <w:tc>
          <w:tcPr>
            <w:tcW w:type="dxa" w:w="3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LOS es el outcome más estudiado en MIMIC-IV [5][6][7]; correlaciona con costos y complicaciones</w:t>
            </w:r>
          </w:p>
        </w:tc>
      </w:tr>
      <w:tr>
        <w:tc>
          <w:tcPr>
            <w:tcW w:type="dxa" w:w="15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bCs/>
                <w:color w:val="000000"/>
                <w:sz w:val="18"/>
                <w:szCs w:val="18"/>
              </w:rPr>
              <w:t xml:space="preserve">Calidad (d)</w:t>
            </w:r>
          </w:p>
        </w:tc>
        <w:tc>
          <w:tcPr>
            <w:tcW w:type="dxa" w:w="8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center"/>
            </w:pPr>
            <w:r>
              <w:rPr>
                <w:b/>
                <w:bCs/>
                <w:color w:val="000000"/>
                <w:sz w:val="18"/>
                <w:szCs w:val="18"/>
              </w:rPr>
              <w:t xml:space="preserve">0.20</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Códigos ICD-9/10 de complicaciones intrahospitalarias (HACs); detección NER de eventos adversos en notas</w:t>
            </w:r>
          </w:p>
        </w:tc>
        <w:tc>
          <w:tcPr>
            <w:tcW w:type="dxa" w:w="3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ICD codes son labels estándar [5]; NER de eventos validado por [1][2][3]</w:t>
            </w:r>
          </w:p>
        </w:tc>
      </w:tr>
      <w:tr>
        <w:tc>
          <w:tcPr>
            <w:tcW w:type="dxa" w:w="15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bCs/>
                <w:color w:val="000000"/>
                <w:sz w:val="18"/>
                <w:szCs w:val="18"/>
              </w:rPr>
              <w:t xml:space="preserve">Costos (e)</w:t>
            </w:r>
          </w:p>
        </w:tc>
        <w:tc>
          <w:tcPr>
            <w:tcW w:type="dxa" w:w="8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center"/>
            </w:pPr>
            <w:r>
              <w:rPr>
                <w:b/>
                <w:bCs/>
                <w:color w:val="000000"/>
                <w:sz w:val="18"/>
                <w:szCs w:val="18"/>
              </w:rPr>
              <w:t xml:space="preserve">0.15</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DRG weight asignado a la admisión; número de procedimientos invasivos adicionales</w:t>
            </w:r>
          </w:p>
        </w:tc>
        <w:tc>
          <w:tcPr>
            <w:tcW w:type="dxa" w:w="3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DRG es el proxy estándar de costos en MIMIC; uso documentado en [7]</w:t>
            </w:r>
          </w:p>
        </w:tc>
      </w:tr>
      <w:tr>
        <w:tc>
          <w:tcPr>
            <w:tcW w:type="dxa" w:w="15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left"/>
            </w:pPr>
            <w:r>
              <w:rPr>
                <w:b/>
                <w:bCs/>
                <w:color w:val="000000"/>
                <w:sz w:val="18"/>
                <w:szCs w:val="18"/>
              </w:rPr>
              <w:t xml:space="preserve">Satisfacción (f)</w:t>
            </w:r>
          </w:p>
        </w:tc>
        <w:tc>
          <w:tcPr>
            <w:tcW w:type="dxa" w:w="800"/>
            <w:tcBorders>
              <w:top w:val="single" w:color="808080" w:sz="4"/>
              <w:left w:val="single" w:color="808080" w:sz="4"/>
              <w:bottom w:val="single" w:color="808080" w:sz="4"/>
              <w:right w:val="single" w:color="808080" w:sz="4"/>
            </w:tcBorders>
            <w:shd w:fill="DBE5F1" w:val="clear"/>
            <w:tcMar>
              <w:top w:type="dxa" w:w="80"/>
              <w:left w:type="dxa" w:w="120"/>
              <w:bottom w:type="dxa" w:w="80"/>
              <w:right w:type="dxa" w:w="120"/>
            </w:tcMar>
          </w:tcPr>
          <w:p>
            <w:pPr>
              <w:jc w:val="center"/>
            </w:pPr>
            <w:r>
              <w:rPr>
                <w:b/>
                <w:bCs/>
                <w:color w:val="000000"/>
                <w:sz w:val="18"/>
                <w:szCs w:val="18"/>
              </w:rPr>
              <w:t xml:space="preserve">0.25</w:t>
            </w:r>
          </w:p>
        </w:tc>
        <w:tc>
          <w:tcPr>
            <w:tcW w:type="dxa" w:w="35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Readmisión no planificada a 30 días; alta contra recomendación médica (AMA discharge)</w:t>
            </w:r>
          </w:p>
        </w:tc>
        <w:tc>
          <w:tcPr>
            <w:tcW w:type="dxa" w:w="356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b w:val="false"/>
                <w:bCs w:val="false"/>
                <w:color w:val="000000"/>
                <w:sz w:val="18"/>
                <w:szCs w:val="18"/>
              </w:rPr>
              <w:t xml:space="preserve">Readmisión es proxy aceptado de insatisfacción de calidad [6]; AMA discharge correlaciona con experiencia adversa</w:t>
            </w:r>
          </w:p>
        </w:tc>
      </w:tr>
    </w:tbl>
    <w:p>
      <w:pPr>
        <w:spacing w:after="120" w:line="320"/>
        <w:jc w:val="both"/>
      </w:pPr>
      <w:r>
        <w:rPr>
          <w:b w:val="false"/>
          <w:bCs w:val="false"/>
          <w:i w:val="false"/>
          <w:iCs w:val="false"/>
          <w:sz w:val="22"/>
          <w:szCs w:val="22"/>
        </w:rPr>
        <w:t xml:space="preserve">Esta operacionalización es un aporte original del autor que no aparece en ninguno de los doce artículos revisados y constituye, por sí mismo, un resultado publicable como contribución metodológica en revistas indexadas de informática biomédica.</w:t>
      </w:r>
    </w:p>
    <w:p>
      <w:pPr>
        <w:pStyle w:val="Heading2"/>
        <w:spacing w:after="160" w:before="280"/>
      </w:pPr>
      <w:r>
        <w:rPr>
          <w:b/>
          <w:bCs/>
          <w:color w:val="2E74B5"/>
          <w:sz w:val="26"/>
          <w:szCs w:val="26"/>
        </w:rPr>
        <w:t xml:space="preserve">3.7 Roadmap experimental derivado de la literatura</w:t>
      </w:r>
    </w:p>
    <w:p>
      <w:pPr>
        <w:pStyle w:val="ListParagraph"/>
        <w:numPr>
          <w:ilvl w:val="0"/>
          <w:numId w:val="3"/>
        </w:numPr>
        <w:spacing w:after="60" w:line="300"/>
      </w:pPr>
      <w:r>
        <w:rPr>
          <w:sz w:val="22"/>
          <w:szCs w:val="22"/>
        </w:rPr>
        <w:t xml:space="preserve">Fase 1 — Construcción del corpus etiquetado: aplicar weak supervision con heurísticas Snorkel sobre notas de MIMIC-IV, complementada con anotación manual de 300 notas estratificadas según la taxonomía del Anexo 02 de la Directiva GG-ESSALUD-2021. Justificado por [1][3].</w:t>
      </w:r>
    </w:p>
    <w:p>
      <w:pPr>
        <w:pStyle w:val="ListParagraph"/>
        <w:numPr>
          <w:ilvl w:val="0"/>
          <w:numId w:val="3"/>
        </w:numPr>
        <w:spacing w:after="60" w:line="300"/>
      </w:pPr>
      <w:r>
        <w:rPr>
          <w:sz w:val="22"/>
          <w:szCs w:val="22"/>
        </w:rPr>
        <w:t xml:space="preserve">Fase 2 — Etapa 1 NLP: fine-tuning comparativo de BioBERT, ClinicalBERT y DistilBERT sobre el corpus etiquetado. Métricas: precision, recall, F1 ponderado (Ec. 2), kappa de Cohen (Ec. 7). Justificado por [2][6].</w:t>
      </w:r>
    </w:p>
    <w:p>
      <w:pPr>
        <w:pStyle w:val="ListParagraph"/>
        <w:numPr>
          <w:ilvl w:val="0"/>
          <w:numId w:val="3"/>
        </w:numPr>
        <w:spacing w:after="60" w:line="300"/>
      </w:pPr>
      <w:r>
        <w:rPr>
          <w:sz w:val="22"/>
          <w:szCs w:val="22"/>
        </w:rPr>
        <w:t xml:space="preserve">Fase 3 — Etapa 2 multimodal: arquitectura siguiendo a Liu et al. [8] que combina rama textual (transformer) y rama tabular (XGBoost) con fusión por atención (Ec. 5). Salida: clasificación de naturaleza del evento + scores en las cuatro dimensiones GEMSES.</w:t>
      </w:r>
    </w:p>
    <w:p>
      <w:pPr>
        <w:pStyle w:val="ListParagraph"/>
        <w:numPr>
          <w:ilvl w:val="0"/>
          <w:numId w:val="3"/>
        </w:numPr>
        <w:spacing w:after="60" w:line="300"/>
      </w:pPr>
      <w:r>
        <w:rPr>
          <w:sz w:val="22"/>
          <w:szCs w:val="22"/>
        </w:rPr>
        <w:t xml:space="preserve">Fase 4 — Cálculo de la Matriz de Priorización: aplicación de la fórmula G de la Ec. 8, derivación del Nivel de Riesgo (Ec. 9), Índice de Gestión (Ec. 10) y Nivel de Gestión (Ec. 11) según percentiles P25/P50/P75.</w:t>
      </w:r>
    </w:p>
    <w:p>
      <w:pPr>
        <w:pStyle w:val="ListParagraph"/>
        <w:numPr>
          <w:ilvl w:val="0"/>
          <w:numId w:val="3"/>
        </w:numPr>
        <w:spacing w:after="60" w:line="300"/>
      </w:pPr>
      <w:r>
        <w:rPr>
          <w:sz w:val="22"/>
          <w:szCs w:val="22"/>
        </w:rPr>
        <w:t xml:space="preserve">Fase 5 — Validación con panel experto independiente sobre 200 notas, comparación contra fórmula determinista de la directiva, análisis de sensibilidad ante cambios en pesos. Justificado por [9][10][11][12].</w:t>
      </w:r>
    </w:p>
    <w:p>
      <w:pPr>
        <w:pStyle w:val="ListParagraph"/>
        <w:numPr>
          <w:ilvl w:val="0"/>
          <w:numId w:val="3"/>
        </w:numPr>
        <w:spacing w:after="60" w:line="300"/>
      </w:pPr>
      <w:r>
        <w:rPr>
          <w:sz w:val="22"/>
          <w:szCs w:val="22"/>
        </w:rPr>
        <w:t xml:space="preserve">Fase 6 — Análisis de transferibilidad al castellano usando MedLexSp como recurso lingüístico de soporte y traducción supervisada. Justificado por [4].</w:t>
      </w:r>
    </w:p>
    <w:p>
      <w:pPr>
        <w:pStyle w:val="Heading2"/>
        <w:spacing w:after="160" w:before="280"/>
      </w:pPr>
      <w:r>
        <w:rPr>
          <w:b/>
          <w:bCs/>
          <w:color w:val="2E74B5"/>
          <w:sz w:val="26"/>
          <w:szCs w:val="26"/>
        </w:rPr>
        <w:t xml:space="preserve">3.8 Posicionamiento final de la propuesta</w:t>
      </w:r>
    </w:p>
    <w:p>
      <w:pPr>
        <w:spacing w:after="120" w:line="320"/>
        <w:jc w:val="both"/>
      </w:pPr>
      <w:r>
        <w:rPr>
          <w:b w:val="false"/>
          <w:bCs w:val="false"/>
          <w:i w:val="false"/>
          <w:iCs w:val="false"/>
          <w:sz w:val="22"/>
          <w:szCs w:val="22"/>
        </w:rPr>
        <w:t xml:space="preserve">La propuesta de tesis del autor combina las cuatro convergencias identificadas, resuelve las tres tensiones detectadas y aborda explícitamente el vacío crítico cuádruple. La originalidad no radica en una técnica novedosa de IA — pues todas las técnicas empleadas son maduras y documentadas en la literatura revisada — sino en la integración inédita de cuatro bloques tecnológicos consolidados (NLP biomédico, dataset público, arquitectura multimodal, modelo de excelencia institucional adoptado normativamente). Esta integración constituye el aporte específico que diferencia la tesis del estado del arte y la posiciona como insumo viable para publicación en revistas indexadas de informática biomédica y gestión de la calidad sanitaria, así como referencia replicable para otras IPRESS del sistema sanitario peruano y latinoamericano.</w:t>
      </w:r>
    </w:p>
    <w:p>
      <w:r>
        <w:br w:type="page"/>
      </w:r>
    </w:p>
    <w:p>
      <w:pPr>
        <w:pStyle w:val="Heading1"/>
        <w:spacing w:after="200" w:before="360"/>
      </w:pPr>
      <w:r>
        <w:rPr>
          <w:b/>
          <w:bCs/>
          <w:color w:val="1F3864"/>
          <w:sz w:val="32"/>
          <w:szCs w:val="32"/>
        </w:rPr>
        <w:t xml:space="preserve">References</w:t>
      </w:r>
    </w:p>
    <w:p>
      <w:pPr>
        <w:spacing w:after="100" w:line="320"/>
        <w:ind w:left="720" w:hanging="720"/>
        <w:jc w:val="both"/>
      </w:pPr>
      <w:r>
        <w:rPr>
          <w:b/>
          <w:bCs/>
          <w:sz w:val="20"/>
          <w:szCs w:val="20"/>
        </w:rPr>
        <w:t xml:space="preserve">[1] </w:t>
      </w:r>
      <w:r>
        <w:rPr>
          <w:sz w:val="20"/>
          <w:szCs w:val="20"/>
        </w:rPr>
        <w:t xml:space="preserve">S. Modi y S. S. Feldman, «Extracting adverse drug events from clinical Notes: A systematic review of approaches used», Journal of Biomedical Informatics, vol. 151, art. 104603, 2024.</w:t>
      </w:r>
    </w:p>
    <w:p>
      <w:pPr>
        <w:spacing w:after="60"/>
        <w:ind w:left="720"/>
      </w:pPr>
      <w:r>
        <w:rPr>
          <w:b/>
          <w:bCs/>
          <w:sz w:val="18"/>
          <w:szCs w:val="18"/>
        </w:rPr>
        <w:t xml:space="preserve">DOI: </w:t>
      </w:r>
      <w:r>
        <w:rPr>
          <w:rFonts w:ascii="Consolas" w:cs="Consolas" w:eastAsia="Consolas" w:hAnsi="Consolas"/>
          <w:sz w:val="18"/>
          <w:szCs w:val="18"/>
        </w:rPr>
        <w:t xml:space="preserve">10.1016/j.jbi.2024.104603</w:t>
      </w:r>
    </w:p>
    <w:p>
      <w:pPr>
        <w:spacing w:after="160"/>
        <w:ind w:left="720"/>
      </w:pPr>
      <w:r>
        <w:rPr>
          <w:b/>
          <w:bCs/>
          <w:sz w:val="18"/>
          <w:szCs w:val="18"/>
        </w:rPr>
        <w:t xml:space="preserve">URL: </w:t>
      </w:r>
      <w:hyperlink w:history="1" r:id="rIdpodkyhmry2mjxc0pklpsm">
        <w:r>
          <w:rPr>
            <w:rStyle w:val="Hyperlink"/>
            <w:color w:val="2E74B5"/>
            <w:sz w:val="18"/>
            <w:szCs w:val="18"/>
            <w:u w:val="single"/>
          </w:rPr>
          <w:t xml:space="preserve">https://www.sciencedirect.com/science/article/pii/S1532046424000212</w:t>
        </w:r>
      </w:hyperlink>
    </w:p>
    <w:p>
      <w:pPr>
        <w:spacing w:after="100" w:line="320"/>
        <w:ind w:left="720" w:hanging="720"/>
        <w:jc w:val="both"/>
      </w:pPr>
      <w:r>
        <w:rPr>
          <w:b/>
          <w:bCs/>
          <w:sz w:val="20"/>
          <w:szCs w:val="20"/>
        </w:rPr>
        <w:t xml:space="preserve">[2] </w:t>
      </w:r>
      <w:r>
        <w:rPr>
          <w:sz w:val="20"/>
          <w:szCs w:val="20"/>
        </w:rPr>
        <w:t xml:space="preserve">Y. Wang, E. Coiera y F. Magrabi, «Improving Patient Safety Event Report Classification with Machine Learning and Contextual Text Representation», Studies in Health Technology and Informatics, MEDINFO 2023 Proceedings, 2024.</w:t>
      </w:r>
    </w:p>
    <w:p>
      <w:pPr>
        <w:spacing w:after="60"/>
        <w:ind w:left="720"/>
      </w:pPr>
      <w:r>
        <w:rPr>
          <w:b/>
          <w:bCs/>
          <w:sz w:val="18"/>
          <w:szCs w:val="18"/>
        </w:rPr>
        <w:t xml:space="preserve">DOI: </w:t>
      </w:r>
      <w:r>
        <w:rPr>
          <w:rFonts w:ascii="Consolas" w:cs="Consolas" w:eastAsia="Consolas" w:hAnsi="Consolas"/>
          <w:sz w:val="18"/>
          <w:szCs w:val="18"/>
        </w:rPr>
        <w:t xml:space="preserve">10.3233/SHTI230884</w:t>
      </w:r>
    </w:p>
    <w:p>
      <w:pPr>
        <w:spacing w:after="160"/>
        <w:ind w:left="720"/>
      </w:pPr>
      <w:r>
        <w:rPr>
          <w:b/>
          <w:bCs/>
          <w:sz w:val="18"/>
          <w:szCs w:val="18"/>
        </w:rPr>
        <w:t xml:space="preserve">URL: </w:t>
      </w:r>
      <w:hyperlink w:history="1" r:id="rIdbycsl9tjwklupdrcax0dy">
        <w:r>
          <w:rPr>
            <w:rStyle w:val="Hyperlink"/>
            <w:color w:val="2E74B5"/>
            <w:sz w:val="18"/>
            <w:szCs w:val="18"/>
            <w:u w:val="single"/>
          </w:rPr>
          <w:t xml:space="preserve">https://pmc.ncbi.nlm.nih.gov/articles/PMC10782181/</w:t>
        </w:r>
      </w:hyperlink>
    </w:p>
    <w:p>
      <w:pPr>
        <w:spacing w:after="100" w:line="320"/>
        <w:ind w:left="720" w:hanging="720"/>
        <w:jc w:val="both"/>
      </w:pPr>
      <w:r>
        <w:rPr>
          <w:b/>
          <w:bCs/>
          <w:sz w:val="20"/>
          <w:szCs w:val="20"/>
        </w:rPr>
        <w:t xml:space="preserve">[3] </w:t>
      </w:r>
      <w:r>
        <w:rPr>
          <w:sz w:val="20"/>
          <w:szCs w:val="20"/>
        </w:rPr>
        <w:t xml:space="preserve">D. Mahendran, B. T. McInnes et al., «Leveraging Natural Language Processing and Machine Learning Methods for Adverse Drug Event Detection in Electronic Health/Medical Records: A Scoping Review», Drug Safety, vol. 48, n.º 3, 2025.</w:t>
      </w:r>
    </w:p>
    <w:p>
      <w:pPr>
        <w:spacing w:after="60"/>
        <w:ind w:left="720"/>
      </w:pPr>
      <w:r>
        <w:rPr>
          <w:b/>
          <w:bCs/>
          <w:sz w:val="18"/>
          <w:szCs w:val="18"/>
        </w:rPr>
        <w:t xml:space="preserve">DOI: </w:t>
      </w:r>
      <w:r>
        <w:rPr>
          <w:rFonts w:ascii="Consolas" w:cs="Consolas" w:eastAsia="Consolas" w:hAnsi="Consolas"/>
          <w:sz w:val="18"/>
          <w:szCs w:val="18"/>
        </w:rPr>
        <w:t xml:space="preserve">10.1007/s40264-024-01505-6</w:t>
      </w:r>
    </w:p>
    <w:p>
      <w:pPr>
        <w:spacing w:after="160"/>
        <w:ind w:left="720"/>
      </w:pPr>
      <w:r>
        <w:rPr>
          <w:b/>
          <w:bCs/>
          <w:sz w:val="18"/>
          <w:szCs w:val="18"/>
        </w:rPr>
        <w:t xml:space="preserve">URL: </w:t>
      </w:r>
      <w:hyperlink w:history="1" r:id="rIdjmfy_y7dy6evje6ggcavv">
        <w:r>
          <w:rPr>
            <w:rStyle w:val="Hyperlink"/>
            <w:color w:val="2E74B5"/>
            <w:sz w:val="18"/>
            <w:szCs w:val="18"/>
            <w:u w:val="single"/>
          </w:rPr>
          <w:t xml:space="preserve">https://link.springer.com/article/10.1007/s40264-024-01505-6</w:t>
        </w:r>
      </w:hyperlink>
    </w:p>
    <w:p>
      <w:pPr>
        <w:spacing w:after="100" w:line="320"/>
        <w:ind w:left="720" w:hanging="720"/>
        <w:jc w:val="both"/>
      </w:pPr>
      <w:r>
        <w:rPr>
          <w:b/>
          <w:bCs/>
          <w:sz w:val="20"/>
          <w:szCs w:val="20"/>
        </w:rPr>
        <w:t xml:space="preserve">[4] </w:t>
      </w:r>
      <w:r>
        <w:rPr>
          <w:sz w:val="20"/>
          <w:szCs w:val="20"/>
        </w:rPr>
        <w:t xml:space="preserve">L. Campillos-Llanos, «MedLexSp – a medical lexicon for Spanish medical natural language processing», Journal of Biomedical Semantics, vol. 14, n.º 2, 2023.</w:t>
      </w:r>
    </w:p>
    <w:p>
      <w:pPr>
        <w:spacing w:after="60"/>
        <w:ind w:left="720"/>
      </w:pPr>
      <w:r>
        <w:rPr>
          <w:b/>
          <w:bCs/>
          <w:sz w:val="18"/>
          <w:szCs w:val="18"/>
        </w:rPr>
        <w:t xml:space="preserve">DOI: </w:t>
      </w:r>
      <w:r>
        <w:rPr>
          <w:rFonts w:ascii="Consolas" w:cs="Consolas" w:eastAsia="Consolas" w:hAnsi="Consolas"/>
          <w:sz w:val="18"/>
          <w:szCs w:val="18"/>
        </w:rPr>
        <w:t xml:space="preserve">10.1186/s13326-022-00281-5</w:t>
      </w:r>
    </w:p>
    <w:p>
      <w:pPr>
        <w:spacing w:after="160"/>
        <w:ind w:left="720"/>
      </w:pPr>
      <w:r>
        <w:rPr>
          <w:b/>
          <w:bCs/>
          <w:sz w:val="18"/>
          <w:szCs w:val="18"/>
        </w:rPr>
        <w:t xml:space="preserve">URL: </w:t>
      </w:r>
      <w:hyperlink w:history="1" r:id="rIdqrkymx58ocfs3bvof0m2o">
        <w:r>
          <w:rPr>
            <w:rStyle w:val="Hyperlink"/>
            <w:color w:val="2E74B5"/>
            <w:sz w:val="18"/>
            <w:szCs w:val="18"/>
            <w:u w:val="single"/>
          </w:rPr>
          <w:t xml:space="preserve">https://link.springer.com/article/10.1186/s13326-022-00281-5</w:t>
        </w:r>
      </w:hyperlink>
    </w:p>
    <w:p>
      <w:pPr>
        <w:spacing w:after="100" w:line="320"/>
        <w:ind w:left="720" w:hanging="720"/>
        <w:jc w:val="both"/>
      </w:pPr>
      <w:r>
        <w:rPr>
          <w:b/>
          <w:bCs/>
          <w:sz w:val="20"/>
          <w:szCs w:val="20"/>
        </w:rPr>
        <w:t xml:space="preserve">[5] </w:t>
      </w:r>
      <w:r>
        <w:rPr>
          <w:sz w:val="20"/>
          <w:szCs w:val="20"/>
        </w:rPr>
        <w:t xml:space="preserve">A. E. W. Johnson, L. Bulgarelli, L. Shen et al., «MIMIC-IV, a freely accessible electronic health record dataset», Scientific Data, vol. 10, n.º 1, 2023.</w:t>
      </w:r>
    </w:p>
    <w:p>
      <w:pPr>
        <w:spacing w:after="60"/>
        <w:ind w:left="720"/>
      </w:pPr>
      <w:r>
        <w:rPr>
          <w:b/>
          <w:bCs/>
          <w:sz w:val="18"/>
          <w:szCs w:val="18"/>
        </w:rPr>
        <w:t xml:space="preserve">DOI: </w:t>
      </w:r>
      <w:r>
        <w:rPr>
          <w:rFonts w:ascii="Consolas" w:cs="Consolas" w:eastAsia="Consolas" w:hAnsi="Consolas"/>
          <w:sz w:val="18"/>
          <w:szCs w:val="18"/>
        </w:rPr>
        <w:t xml:space="preserve">10.1038/s41597-022-01899-x</w:t>
      </w:r>
    </w:p>
    <w:p>
      <w:pPr>
        <w:spacing w:after="160"/>
        <w:ind w:left="720"/>
      </w:pPr>
      <w:r>
        <w:rPr>
          <w:b/>
          <w:bCs/>
          <w:sz w:val="18"/>
          <w:szCs w:val="18"/>
        </w:rPr>
        <w:t xml:space="preserve">URL: </w:t>
      </w:r>
      <w:hyperlink w:history="1" r:id="rIdh8zqshueidighl-hakgax">
        <w:r>
          <w:rPr>
            <w:rStyle w:val="Hyperlink"/>
            <w:color w:val="2E74B5"/>
            <w:sz w:val="18"/>
            <w:szCs w:val="18"/>
            <w:u w:val="single"/>
          </w:rPr>
          <w:t xml:space="preserve">https://www.nature.com/articles/s41597-022-01899-x</w:t>
        </w:r>
      </w:hyperlink>
    </w:p>
    <w:p>
      <w:pPr>
        <w:spacing w:after="100" w:line="320"/>
        <w:ind w:left="720" w:hanging="720"/>
        <w:jc w:val="both"/>
      </w:pPr>
      <w:r>
        <w:rPr>
          <w:b/>
          <w:bCs/>
          <w:sz w:val="20"/>
          <w:szCs w:val="20"/>
        </w:rPr>
        <w:t xml:space="preserve">[6] </w:t>
      </w:r>
      <w:r>
        <w:rPr>
          <w:sz w:val="20"/>
          <w:szCs w:val="20"/>
        </w:rPr>
        <w:t xml:space="preserve">B. van Aken et al., «Revisiting Clinical Outcome Prediction for MIMIC-IV», Proceedings of the 6th Clinical Natural Language Processing Workshop (ClinicalNLP @ NAACL 2024), Association for Computational Linguistics, 2024.</w:t>
      </w:r>
    </w:p>
    <w:p>
      <w:pPr>
        <w:spacing w:after="160"/>
        <w:ind w:left="720"/>
      </w:pPr>
      <w:r>
        <w:rPr>
          <w:b/>
          <w:bCs/>
          <w:sz w:val="18"/>
          <w:szCs w:val="18"/>
        </w:rPr>
        <w:t xml:space="preserve">URL: </w:t>
      </w:r>
      <w:hyperlink w:history="1" r:id="rIdwar5qgv7z2szmeuwzvz7p">
        <w:r>
          <w:rPr>
            <w:rStyle w:val="Hyperlink"/>
            <w:color w:val="2E74B5"/>
            <w:sz w:val="18"/>
            <w:szCs w:val="18"/>
            <w:u w:val="single"/>
          </w:rPr>
          <w:t xml:space="preserve">https://aclanthology.org/2024.clinicalnlp-1.18.pdf</w:t>
        </w:r>
      </w:hyperlink>
    </w:p>
    <w:p>
      <w:pPr>
        <w:spacing w:after="100" w:line="320"/>
        <w:ind w:left="720" w:hanging="720"/>
        <w:jc w:val="both"/>
      </w:pPr>
      <w:r>
        <w:rPr>
          <w:b/>
          <w:bCs/>
          <w:sz w:val="20"/>
          <w:szCs w:val="20"/>
        </w:rPr>
        <w:t xml:space="preserve">[7] </w:t>
      </w:r>
      <w:r>
        <w:rPr>
          <w:sz w:val="20"/>
          <w:szCs w:val="20"/>
        </w:rPr>
        <w:t xml:space="preserve">Q. Hu, J. Li, X. Li, D. Zou, T. Xu y Z. He, «Machine learning to predict adverse drug events based on electronic health records: a systematic review and meta-analysis», Journal of International Medical Research, vol. 52, n.º 12, 2024.</w:t>
      </w:r>
    </w:p>
    <w:p>
      <w:pPr>
        <w:spacing w:after="60"/>
        <w:ind w:left="720"/>
      </w:pPr>
      <w:r>
        <w:rPr>
          <w:b/>
          <w:bCs/>
          <w:sz w:val="18"/>
          <w:szCs w:val="18"/>
        </w:rPr>
        <w:t xml:space="preserve">DOI: </w:t>
      </w:r>
      <w:r>
        <w:rPr>
          <w:rFonts w:ascii="Consolas" w:cs="Consolas" w:eastAsia="Consolas" w:hAnsi="Consolas"/>
          <w:sz w:val="18"/>
          <w:szCs w:val="18"/>
        </w:rPr>
        <w:t xml:space="preserve">10.1177/03000605241302304</w:t>
      </w:r>
    </w:p>
    <w:p>
      <w:pPr>
        <w:spacing w:after="160"/>
        <w:ind w:left="720"/>
      </w:pPr>
      <w:r>
        <w:rPr>
          <w:b/>
          <w:bCs/>
          <w:sz w:val="18"/>
          <w:szCs w:val="18"/>
        </w:rPr>
        <w:t xml:space="preserve">URL: </w:t>
      </w:r>
      <w:hyperlink w:history="1" r:id="rIdurm7bfwouzrf0xclmha_n">
        <w:r>
          <w:rPr>
            <w:rStyle w:val="Hyperlink"/>
            <w:color w:val="2E74B5"/>
            <w:sz w:val="18"/>
            <w:szCs w:val="18"/>
            <w:u w:val="single"/>
          </w:rPr>
          <w:t xml:space="preserve">https://journals.sagepub.com/doi/10.1177/03000605241302304</w:t>
        </w:r>
      </w:hyperlink>
    </w:p>
    <w:p>
      <w:pPr>
        <w:spacing w:after="100" w:line="320"/>
        <w:ind w:left="720" w:hanging="720"/>
        <w:jc w:val="both"/>
      </w:pPr>
      <w:r>
        <w:rPr>
          <w:b/>
          <w:bCs/>
          <w:sz w:val="20"/>
          <w:szCs w:val="20"/>
        </w:rPr>
        <w:t xml:space="preserve">[8] </w:t>
      </w:r>
      <w:r>
        <w:rPr>
          <w:sz w:val="20"/>
          <w:szCs w:val="20"/>
        </w:rPr>
        <w:t xml:space="preserve">X. Liu et al., «Improving the Prognostic Evaluation Precision of Hospital Outcomes for Heart Failure Using Admission Notes and Clinical Tabular Data: Multimodal Deep Learning Model», Journal of Medical Internet Research, vol. 26, art. e54363, 2024.</w:t>
      </w:r>
    </w:p>
    <w:p>
      <w:pPr>
        <w:spacing w:after="60"/>
        <w:ind w:left="720"/>
      </w:pPr>
      <w:r>
        <w:rPr>
          <w:b/>
          <w:bCs/>
          <w:sz w:val="18"/>
          <w:szCs w:val="18"/>
        </w:rPr>
        <w:t xml:space="preserve">DOI: </w:t>
      </w:r>
      <w:r>
        <w:rPr>
          <w:rFonts w:ascii="Consolas" w:cs="Consolas" w:eastAsia="Consolas" w:hAnsi="Consolas"/>
          <w:sz w:val="18"/>
          <w:szCs w:val="18"/>
        </w:rPr>
        <w:t xml:space="preserve">10.2196/54363</w:t>
      </w:r>
    </w:p>
    <w:p>
      <w:pPr>
        <w:spacing w:after="160"/>
        <w:ind w:left="720"/>
      </w:pPr>
      <w:r>
        <w:rPr>
          <w:b/>
          <w:bCs/>
          <w:sz w:val="18"/>
          <w:szCs w:val="18"/>
        </w:rPr>
        <w:t xml:space="preserve">URL: </w:t>
      </w:r>
      <w:hyperlink w:history="1" r:id="rIdm3-mcrqy8jiqhid12mucz">
        <w:r>
          <w:rPr>
            <w:rStyle w:val="Hyperlink"/>
            <w:color w:val="2E74B5"/>
            <w:sz w:val="18"/>
            <w:szCs w:val="18"/>
            <w:u w:val="single"/>
          </w:rPr>
          <w:t xml:space="preserve">https://www.jmir.org/2024/1/e54363</w:t>
        </w:r>
      </w:hyperlink>
    </w:p>
    <w:p>
      <w:pPr>
        <w:spacing w:after="100" w:line="320"/>
        <w:ind w:left="720" w:hanging="720"/>
        <w:jc w:val="both"/>
      </w:pPr>
      <w:r>
        <w:rPr>
          <w:b/>
          <w:bCs/>
          <w:sz w:val="20"/>
          <w:szCs w:val="20"/>
        </w:rPr>
        <w:t xml:space="preserve">[9] </w:t>
      </w:r>
      <w:r>
        <w:rPr>
          <w:sz w:val="20"/>
          <w:szCs w:val="20"/>
        </w:rPr>
        <w:t xml:space="preserve">H. C. Liu, L. J. Zhang, Y. J. Ping y L. Wang, «Overview of Failure Mode and Effects Analysis (FMEA): A Patient Safety Tool», Global Journal on Quality and Safety in Healthcare, 2023.</w:t>
      </w:r>
    </w:p>
    <w:p>
      <w:pPr>
        <w:spacing w:after="60"/>
        <w:ind w:left="720"/>
      </w:pPr>
      <w:r>
        <w:rPr>
          <w:b/>
          <w:bCs/>
          <w:sz w:val="18"/>
          <w:szCs w:val="18"/>
        </w:rPr>
        <w:t xml:space="preserve">DOI: </w:t>
      </w:r>
      <w:r>
        <w:rPr>
          <w:rFonts w:ascii="Consolas" w:cs="Consolas" w:eastAsia="Consolas" w:hAnsi="Consolas"/>
          <w:sz w:val="18"/>
          <w:szCs w:val="18"/>
        </w:rPr>
        <w:t xml:space="preserve">10.36401/JQSH-22-12</w:t>
      </w:r>
    </w:p>
    <w:p>
      <w:pPr>
        <w:spacing w:after="160"/>
        <w:ind w:left="720"/>
      </w:pPr>
      <w:r>
        <w:rPr>
          <w:b/>
          <w:bCs/>
          <w:sz w:val="18"/>
          <w:szCs w:val="18"/>
        </w:rPr>
        <w:t xml:space="preserve">URL: </w:t>
      </w:r>
      <w:hyperlink w:history="1" r:id="rIdjiissad-mvqwwxevcnnq4">
        <w:r>
          <w:rPr>
            <w:rStyle w:val="Hyperlink"/>
            <w:color w:val="2E74B5"/>
            <w:sz w:val="18"/>
            <w:szCs w:val="18"/>
            <w:u w:val="single"/>
          </w:rPr>
          <w:t xml:space="preserve">https://pmc.ncbi.nlm.nih.gov/articles/PMC10229026/</w:t>
        </w:r>
      </w:hyperlink>
    </w:p>
    <w:p>
      <w:pPr>
        <w:spacing w:after="100" w:line="320"/>
        <w:ind w:left="720" w:hanging="720"/>
        <w:jc w:val="both"/>
      </w:pPr>
      <w:r>
        <w:rPr>
          <w:b/>
          <w:bCs/>
          <w:sz w:val="20"/>
          <w:szCs w:val="20"/>
        </w:rPr>
        <w:t xml:space="preserve">[10] </w:t>
      </w:r>
      <w:r>
        <w:rPr>
          <w:sz w:val="20"/>
          <w:szCs w:val="20"/>
        </w:rPr>
        <w:t xml:space="preserve">M. Kovačević et al., «A novel decision support system for proactive risk management in healthcare based on fuzzy inference, neural network and support vector machine», International Journal of Medical Informatics, vol. 187, art. 105443, 2024.</w:t>
      </w:r>
    </w:p>
    <w:p>
      <w:pPr>
        <w:spacing w:after="60"/>
        <w:ind w:left="720"/>
      </w:pPr>
      <w:r>
        <w:rPr>
          <w:b/>
          <w:bCs/>
          <w:sz w:val="18"/>
          <w:szCs w:val="18"/>
        </w:rPr>
        <w:t xml:space="preserve">DOI: </w:t>
      </w:r>
      <w:r>
        <w:rPr>
          <w:rFonts w:ascii="Consolas" w:cs="Consolas" w:eastAsia="Consolas" w:hAnsi="Consolas"/>
          <w:sz w:val="18"/>
          <w:szCs w:val="18"/>
        </w:rPr>
        <w:t xml:space="preserve">10.1016/j.ijmedinf.2024.105443</w:t>
      </w:r>
    </w:p>
    <w:p>
      <w:pPr>
        <w:spacing w:after="160"/>
        <w:ind w:left="720"/>
      </w:pPr>
      <w:r>
        <w:rPr>
          <w:b/>
          <w:bCs/>
          <w:sz w:val="18"/>
          <w:szCs w:val="18"/>
        </w:rPr>
        <w:t xml:space="preserve">URL: </w:t>
      </w:r>
      <w:hyperlink w:history="1" r:id="rIdfguh51mhxpnt--yz0xz1y">
        <w:r>
          <w:rPr>
            <w:rStyle w:val="Hyperlink"/>
            <w:color w:val="2E74B5"/>
            <w:sz w:val="18"/>
            <w:szCs w:val="18"/>
            <w:u w:val="single"/>
          </w:rPr>
          <w:t xml:space="preserve">https://www.sciencedirect.com/science/article/abs/pii/S1386505624001059</w:t>
        </w:r>
      </w:hyperlink>
    </w:p>
    <w:p>
      <w:pPr>
        <w:spacing w:after="100" w:line="320"/>
        <w:ind w:left="720" w:hanging="720"/>
        <w:jc w:val="both"/>
      </w:pPr>
      <w:r>
        <w:rPr>
          <w:b/>
          <w:bCs/>
          <w:sz w:val="20"/>
          <w:szCs w:val="20"/>
        </w:rPr>
        <w:t xml:space="preserve">[11] </w:t>
      </w:r>
      <w:r>
        <w:rPr>
          <w:sz w:val="20"/>
          <w:szCs w:val="20"/>
        </w:rPr>
        <w:t xml:space="preserve">M. Khan, M. Khurshid, M. Vatsa, R. Singh, M. Duggal y K. Singh, «Artificial intelligence in healthcare: transforming patient safety with intelligent systems—A systematic review», Frontiers in Medicine, vol. 11, art. 1522554, 2025.</w:t>
      </w:r>
    </w:p>
    <w:p>
      <w:pPr>
        <w:spacing w:after="60"/>
        <w:ind w:left="720"/>
      </w:pPr>
      <w:r>
        <w:rPr>
          <w:b/>
          <w:bCs/>
          <w:sz w:val="18"/>
          <w:szCs w:val="18"/>
        </w:rPr>
        <w:t xml:space="preserve">DOI: </w:t>
      </w:r>
      <w:r>
        <w:rPr>
          <w:rFonts w:ascii="Consolas" w:cs="Consolas" w:eastAsia="Consolas" w:hAnsi="Consolas"/>
          <w:sz w:val="18"/>
          <w:szCs w:val="18"/>
        </w:rPr>
        <w:t xml:space="preserve">10.3389/fmed.2024.1522554</w:t>
      </w:r>
    </w:p>
    <w:p>
      <w:pPr>
        <w:spacing w:after="160"/>
        <w:ind w:left="720"/>
      </w:pPr>
      <w:r>
        <w:rPr>
          <w:b/>
          <w:bCs/>
          <w:sz w:val="18"/>
          <w:szCs w:val="18"/>
        </w:rPr>
        <w:t xml:space="preserve">URL: </w:t>
      </w:r>
      <w:hyperlink w:history="1" r:id="rId8cc500a3t4dorzhbsmgru">
        <w:r>
          <w:rPr>
            <w:rStyle w:val="Hyperlink"/>
            <w:color w:val="2E74B5"/>
            <w:sz w:val="18"/>
            <w:szCs w:val="18"/>
            <w:u w:val="single"/>
          </w:rPr>
          <w:t xml:space="preserve">https://www.frontiersin.org/journals/medicine/articles/10.3389/fmed.2024.1522554/full</w:t>
        </w:r>
      </w:hyperlink>
    </w:p>
    <w:p>
      <w:pPr>
        <w:spacing w:after="100" w:line="320"/>
        <w:ind w:left="720" w:hanging="720"/>
        <w:jc w:val="both"/>
      </w:pPr>
      <w:r>
        <w:rPr>
          <w:b/>
          <w:bCs/>
          <w:sz w:val="20"/>
          <w:szCs w:val="20"/>
        </w:rPr>
        <w:t xml:space="preserve">[12] </w:t>
      </w:r>
      <w:r>
        <w:rPr>
          <w:sz w:val="20"/>
          <w:szCs w:val="20"/>
        </w:rPr>
        <w:t xml:space="preserve">M. Ferrara, G. Bertozzi, N. Di Fazio, I. Aquila, A. Di Fazio, A. Maiese, G. Volonnino, P. Frati y R. La Russa, «Risk Management and Patient Safety in the Artificial Intelligence Era: A Systematic Review», Healthcare (MDPI), vol. 12, n.º 5, 2024.</w:t>
      </w:r>
    </w:p>
    <w:p>
      <w:pPr>
        <w:spacing w:after="60"/>
        <w:ind w:left="720"/>
      </w:pPr>
      <w:r>
        <w:rPr>
          <w:b/>
          <w:bCs/>
          <w:sz w:val="18"/>
          <w:szCs w:val="18"/>
        </w:rPr>
        <w:t xml:space="preserve">DOI: </w:t>
      </w:r>
      <w:r>
        <w:rPr>
          <w:rFonts w:ascii="Consolas" w:cs="Consolas" w:eastAsia="Consolas" w:hAnsi="Consolas"/>
          <w:sz w:val="18"/>
          <w:szCs w:val="18"/>
        </w:rPr>
        <w:t xml:space="preserve">10.3390/healthcare12050549</w:t>
      </w:r>
    </w:p>
    <w:p>
      <w:pPr>
        <w:spacing w:after="160"/>
        <w:ind w:left="720"/>
      </w:pPr>
      <w:r>
        <w:rPr>
          <w:b/>
          <w:bCs/>
          <w:sz w:val="18"/>
          <w:szCs w:val="18"/>
        </w:rPr>
        <w:t xml:space="preserve">URL: </w:t>
      </w:r>
      <w:hyperlink w:history="1" r:id="rId7nb57ksp73iz46uqpbyp9">
        <w:r>
          <w:rPr>
            <w:rStyle w:val="Hyperlink"/>
            <w:color w:val="2E74B5"/>
            <w:sz w:val="18"/>
            <w:szCs w:val="18"/>
            <w:u w:val="single"/>
          </w:rPr>
          <w:t xml:space="preserve">https://pmc.ncbi.nlm.nih.gov/articles/PMC10931321/</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MIA 303 – Resumen de 12 Artículos – Carlos Pérez Pérez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csopgukdtcdbqjixke_m" Type="http://schemas.openxmlformats.org/officeDocument/2006/relationships/hyperlink" Target="https://www.sciencedirect.com/science/article/pii/S1532046424000212" TargetMode="External"/><Relationship Id="rIdeqsblovc9jrdbobo7-okq" Type="http://schemas.openxmlformats.org/officeDocument/2006/relationships/hyperlink" Target="https://pmc.ncbi.nlm.nih.gov/articles/PMC10782181/" TargetMode="External"/><Relationship Id="rIdaf5zckuzx83fz360grf2d" Type="http://schemas.openxmlformats.org/officeDocument/2006/relationships/hyperlink" Target="https://link.springer.com/article/10.1007/s40264-024-01505-6" TargetMode="External"/><Relationship Id="rIdnwpyrt7hjso3e3n_-ho_h" Type="http://schemas.openxmlformats.org/officeDocument/2006/relationships/hyperlink" Target="https://link.springer.com/article/10.1186/s13326-022-00281-5" TargetMode="External"/><Relationship Id="rIdwyjmgf-4vbpasts_bqnmo" Type="http://schemas.openxmlformats.org/officeDocument/2006/relationships/hyperlink" Target="https://www.nature.com/articles/s41597-022-01899-x" TargetMode="External"/><Relationship Id="rIdlax6ejergvioebjcxz4la" Type="http://schemas.openxmlformats.org/officeDocument/2006/relationships/hyperlink" Target="https://aclanthology.org/2024.clinicalnlp-1.18.pdf" TargetMode="External"/><Relationship Id="rIdvl2sga1rs4bkpbuvs_7d4" Type="http://schemas.openxmlformats.org/officeDocument/2006/relationships/hyperlink" Target="https://journals.sagepub.com/doi/10.1177/03000605241302304" TargetMode="External"/><Relationship Id="rIdsyw0ico0rrhwpw-mmzvhi" Type="http://schemas.openxmlformats.org/officeDocument/2006/relationships/hyperlink" Target="https://www.jmir.org/2024/1/e54363" TargetMode="External"/><Relationship Id="rIdzj5semzpihw8tzb420qq9" Type="http://schemas.openxmlformats.org/officeDocument/2006/relationships/hyperlink" Target="https://pmc.ncbi.nlm.nih.gov/articles/PMC10229026/" TargetMode="External"/><Relationship Id="rIdcisnl3ootn3hznbskwrqz" Type="http://schemas.openxmlformats.org/officeDocument/2006/relationships/hyperlink" Target="https://www.sciencedirect.com/science/article/abs/pii/S1386505624001059" TargetMode="External"/><Relationship Id="rIdpzx-ixxdmsr1d7suz6xpi" Type="http://schemas.openxmlformats.org/officeDocument/2006/relationships/hyperlink" Target="https://www.frontiersin.org/journals/medicine/articles/10.3389/fmed.2024.1522554/full" TargetMode="External"/><Relationship Id="rIdy-y4ehwn9vjed1tj60vrw" Type="http://schemas.openxmlformats.org/officeDocument/2006/relationships/hyperlink" Target="https://pmc.ncbi.nlm.nih.gov/articles/PMC10931321/" TargetMode="External"/><Relationship Id="rIdpodkyhmry2mjxc0pklpsm" Type="http://schemas.openxmlformats.org/officeDocument/2006/relationships/hyperlink" Target="https://www.sciencedirect.com/science/article/pii/S1532046424000212" TargetMode="External"/><Relationship Id="rIdbycsl9tjwklupdrcax0dy" Type="http://schemas.openxmlformats.org/officeDocument/2006/relationships/hyperlink" Target="https://pmc.ncbi.nlm.nih.gov/articles/PMC10782181/" TargetMode="External"/><Relationship Id="rIdjmfy_y7dy6evje6ggcavv" Type="http://schemas.openxmlformats.org/officeDocument/2006/relationships/hyperlink" Target="https://link.springer.com/article/10.1007/s40264-024-01505-6" TargetMode="External"/><Relationship Id="rIdqrkymx58ocfs3bvof0m2o" Type="http://schemas.openxmlformats.org/officeDocument/2006/relationships/hyperlink" Target="https://link.springer.com/article/10.1186/s13326-022-00281-5" TargetMode="External"/><Relationship Id="rIdh8zqshueidighl-hakgax" Type="http://schemas.openxmlformats.org/officeDocument/2006/relationships/hyperlink" Target="https://www.nature.com/articles/s41597-022-01899-x" TargetMode="External"/><Relationship Id="rIdwar5qgv7z2szmeuwzvz7p" Type="http://schemas.openxmlformats.org/officeDocument/2006/relationships/hyperlink" Target="https://aclanthology.org/2024.clinicalnlp-1.18.pdf" TargetMode="External"/><Relationship Id="rIdurm7bfwouzrf0xclmha_n" Type="http://schemas.openxmlformats.org/officeDocument/2006/relationships/hyperlink" Target="https://journals.sagepub.com/doi/10.1177/03000605241302304" TargetMode="External"/><Relationship Id="rIdm3-mcrqy8jiqhid12mucz" Type="http://schemas.openxmlformats.org/officeDocument/2006/relationships/hyperlink" Target="https://www.jmir.org/2024/1/e54363" TargetMode="External"/><Relationship Id="rIdjiissad-mvqwwxevcnnq4" Type="http://schemas.openxmlformats.org/officeDocument/2006/relationships/hyperlink" Target="https://pmc.ncbi.nlm.nih.gov/articles/PMC10229026/" TargetMode="External"/><Relationship Id="rIdfguh51mhxpnt--yz0xz1y" Type="http://schemas.openxmlformats.org/officeDocument/2006/relationships/hyperlink" Target="https://www.sciencedirect.com/science/article/abs/pii/S1386505624001059" TargetMode="External"/><Relationship Id="rId8cc500a3t4dorzhbsmgru" Type="http://schemas.openxmlformats.org/officeDocument/2006/relationships/hyperlink" Target="https://www.frontiersin.org/journals/medicine/articles/10.3389/fmed.2024.1522554/full" TargetMode="External"/><Relationship Id="rId7nb57ksp73iz46uqpbyp9" Type="http://schemas.openxmlformats.org/officeDocument/2006/relationships/hyperlink" Target="https://pmc.ncbi.nlm.nih.gov/articles/PMC10931321/"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12 Articulos v3 - MIA 303</dc:title>
  <dc:creator>Carlos Perez Perez</dc:creator>
  <cp:lastModifiedBy>Un-named</cp:lastModifiedBy>
  <cp:revision>1</cp:revision>
  <dcterms:created xsi:type="dcterms:W3CDTF">2026-05-09T15:27:17.879Z</dcterms:created>
  <dcterms:modified xsi:type="dcterms:W3CDTF">2026-05-09T15:27:17.879Z</dcterms:modified>
</cp:coreProperties>
</file>

<file path=docProps/custom.xml><?xml version="1.0" encoding="utf-8"?>
<Properties xmlns="http://schemas.openxmlformats.org/officeDocument/2006/custom-properties" xmlns:vt="http://schemas.openxmlformats.org/officeDocument/2006/docPropsVTypes"/>
</file>