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2"/>
          <w:szCs w:val="32"/>
        </w:rPr>
        <w:t xml:space="preserve">STRINGS DE BÚSQUEDA BIBLIOGRÁFICA</w:t>
      </w:r>
    </w:p>
    <w:p>
      <w:pPr>
        <w:spacing w:after="100"/>
        <w:jc w:val="center"/>
      </w:pPr>
      <w:r>
        <w:rPr>
          <w:b/>
          <w:bCs/>
          <w:color w:val="2E74B5"/>
          <w:sz w:val="24"/>
          <w:szCs w:val="24"/>
        </w:rPr>
        <w:t xml:space="preserve">+ Guía paso a paso de credentialing PhysioNet (acceso a MIMIC-IV)</w:t>
      </w:r>
    </w:p>
    <w:p>
      <w:pPr>
        <w:spacing w:after="400"/>
        <w:jc w:val="center"/>
      </w:pPr>
      <w:r>
        <w:rPr>
          <w:i/>
          <w:iCs/>
          <w:color w:val="808080"/>
          <w:sz w:val="22"/>
          <w:szCs w:val="22"/>
        </w:rPr>
        <w:t xml:space="preserve">Documento operativo para la primera entrega del 10 de mayo de 2026</w:t>
      </w:r>
    </w:p>
    <w:p>
      <w:pPr>
        <w:pStyle w:val="Heading1"/>
        <w:spacing w:after="200" w:before="360"/>
      </w:pPr>
      <w:r>
        <w:rPr>
          <w:b/>
          <w:bCs/>
          <w:color w:val="1F3864"/>
          <w:sz w:val="32"/>
          <w:szCs w:val="32"/>
        </w:rPr>
        <w:t xml:space="preserve">PARTE I – Strings de búsqueda por tema</w:t>
      </w:r>
    </w:p>
    <w:p>
      <w:pPr>
        <w:spacing w:after="120" w:line="320"/>
        <w:jc w:val="both"/>
      </w:pPr>
      <w:r>
        <w:rPr>
          <w:b w:val="false"/>
          <w:bCs w:val="false"/>
          <w:i w:val="false"/>
          <w:iCs w:val="false"/>
          <w:sz w:val="22"/>
          <w:szCs w:val="22"/>
        </w:rPr>
        <w:t xml:space="preserve">Para la primera entrega del curso MIA 303 (sábado 10 de mayo de 2026) se requieren al menos 9 papers distribuidos en 3 temas (3 papers por tema, según indicación de la docente). A continuación se proponen los strings de búsqueda construidos con operadores booleanos, listos para ser pegados directamente en cada base de datos. Cada string incluye sinónimos, variantes ortográficas y filtros temporales sugeridos.</w:t>
      </w:r>
    </w:p>
    <w:p>
      <w:pPr>
        <w:spacing w:after="120" w:line="320"/>
        <w:jc w:val="both"/>
      </w:pPr>
      <w:r>
        <w:rPr>
          <w:b w:val="false"/>
          <w:bCs w:val="false"/>
          <w:i w:val="false"/>
          <w:iCs w:val="false"/>
          <w:sz w:val="22"/>
          <w:szCs w:val="22"/>
        </w:rPr>
        <w:t xml:space="preserve">Recomendación general: ejecutar primero el string en Scopus vía Concytec (más amplio y multidisciplinar) para tener un panorama de volumen, y luego refinar en IEEE Xplore (más técnico) y ACM (computación). Google Scholar funciona como red de seguridad para detectar literatura gris y papers recientes.</w:t>
      </w:r>
    </w:p>
    <w:p>
      <w:pPr>
        <w:pStyle w:val="Heading2"/>
        <w:spacing w:after="160" w:before="240"/>
      </w:pPr>
      <w:r>
        <w:rPr>
          <w:b/>
          <w:bCs/>
          <w:color w:val="2E74B5"/>
          <w:sz w:val="26"/>
          <w:szCs w:val="26"/>
        </w:rPr>
        <w:t xml:space="preserve">Tema 1 — Detección de eventos adversos en notas clínicas con NLP</w:t>
      </w:r>
    </w:p>
    <w:p>
      <w:pPr>
        <w:spacing w:after="120" w:line="320"/>
        <w:jc w:val="both"/>
      </w:pPr>
      <w:r>
        <w:rPr>
          <w:b w:val="false"/>
          <w:bCs w:val="false"/>
          <w:i w:val="false"/>
          <w:iCs w:val="false"/>
          <w:sz w:val="22"/>
          <w:szCs w:val="22"/>
        </w:rPr>
        <w:t xml:space="preserve">Objetivo del tema: fundamentar el estado del arte en aplicación de procesamiento de lenguaje natural sobre texto libre clínico para identificar eventos adversos, errores de medicación y complicaciones.</w:t>
      </w:r>
    </w:p>
    <w:p>
      <w:pPr>
        <w:pStyle w:val="Heading3"/>
        <w:spacing w:after="120" w:before="180"/>
      </w:pPr>
      <w:r>
        <w:rPr>
          <w:b/>
          <w:bCs/>
          <w:color w:val="2E74B5"/>
          <w:sz w:val="24"/>
          <w:szCs w:val="24"/>
        </w:rPr>
        <w:t xml:space="preserve">1.1. Scopus / Concytec</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TITLE-ABS-KEY ( ( "adverse event*" OR "adverse drug event*" OR "patient safety event*" OR "medication error*" ) AND ( "clinical note*" OR "EHR text" OR "discharge summary" OR "free text" OR "unstructured text" ) AND ( "natural language processing" OR "NLP" OR "BERT" OR "transformer*" OR "deep learning" ) ) AND PUBYEAR &gt; 2019 AND ( LIMIT-TO ( DOCTYPE , "ar" ) OR LIMIT-TO ( DOCTYPE , "cp" ) ) AND ( LIMIT-TO ( LANGUAGE , "English" ) OR LIMIT-TO ( LANGUAGE , "Spanish" ) )</w:t>
      </w:r>
    </w:p>
    <w:p>
      <w:pPr>
        <w:pStyle w:val="Heading3"/>
        <w:spacing w:after="120" w:before="180"/>
      </w:pPr>
      <w:r>
        <w:rPr>
          <w:b/>
          <w:bCs/>
          <w:color w:val="2E74B5"/>
          <w:sz w:val="24"/>
          <w:szCs w:val="24"/>
        </w:rPr>
        <w:t xml:space="preserve">1.2. IEEE Xplore (búsqueda avanzada)</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("All Metadata":"adverse event" OR "All Metadata":"patient safety") AND ("All Metadata":"clinical notes" OR "All Metadata":"discharge summary" OR "All Metadata":"unstructured text") AND ("All Metadata":"NLP" OR "All Metadata":"BERT" OR "All Metadata":"transformer")
Filtros: Year 2020-2026, Conferences + Journals</w:t>
      </w:r>
    </w:p>
    <w:p>
      <w:pPr>
        <w:pStyle w:val="Heading3"/>
        <w:spacing w:after="120" w:before="180"/>
      </w:pPr>
      <w:r>
        <w:rPr>
          <w:b/>
          <w:bCs/>
          <w:color w:val="2E74B5"/>
          <w:sz w:val="24"/>
          <w:szCs w:val="24"/>
        </w:rPr>
        <w:t xml:space="preserve">1.3. ACM Digital Library</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[Abstract: "adverse event"] AND [Abstract: "clinical notes" OR Abstract: "discharge summary"] AND [Abstract: NLP OR Abstract: BERT OR Abstract: "deep learning"]
Filtros: 2020-2026</w:t>
      </w:r>
    </w:p>
    <w:p>
      <w:pPr>
        <w:pStyle w:val="Heading3"/>
        <w:spacing w:after="120" w:before="180"/>
      </w:pPr>
      <w:r>
        <w:rPr>
          <w:b/>
          <w:bCs/>
          <w:color w:val="2E74B5"/>
          <w:sz w:val="24"/>
          <w:szCs w:val="24"/>
        </w:rPr>
        <w:t xml:space="preserve">1.4. Google Scholar</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"adverse event detection" "clinical notes" (NLP OR BERT OR "deep learning") -survey -review
Filtros: desde 2021</w:t>
      </w:r>
    </w:p>
    <w:p>
      <w:pPr>
        <w:pStyle w:val="Heading3"/>
        <w:spacing w:after="120" w:before="180"/>
      </w:pPr>
      <w:r>
        <w:rPr>
          <w:b/>
          <w:bCs/>
          <w:color w:val="2E74B5"/>
          <w:sz w:val="24"/>
          <w:szCs w:val="24"/>
        </w:rPr>
        <w:t xml:space="preserve">Anclas de partida (papers semilla recomendados — buscar primero estos)</w:t>
      </w:r>
    </w:p>
    <w:p>
      <w:pPr>
        <w:pStyle w:val="ListParagraph"/>
        <w:numPr>
          <w:ilvl w:val="0"/>
          <w:numId w:val="2"/>
        </w:numPr>
        <w:spacing w:after="80" w:line="300"/>
      </w:pPr>
      <w:r>
        <w:rPr>
          <w:sz w:val="22"/>
          <w:szCs w:val="22"/>
        </w:rPr>
        <w:t xml:space="preserve">Murff HJ et al. (2011). "Automated identification of postoperative complications within an electronic medical record using natural language processing." JAMA. — Paper fundacional.</w:t>
      </w:r>
    </w:p>
    <w:p>
      <w:pPr>
        <w:pStyle w:val="ListParagraph"/>
        <w:numPr>
          <w:ilvl w:val="0"/>
          <w:numId w:val="2"/>
        </w:numPr>
        <w:spacing w:after="80" w:line="300"/>
      </w:pPr>
      <w:r>
        <w:rPr>
          <w:sz w:val="22"/>
          <w:szCs w:val="22"/>
        </w:rPr>
        <w:t xml:space="preserve">Demner-Fushman D et al. (2009). "What can natural language processing do for clinical decision support?" Journal of Biomedical Informatics. — Marco conceptual.</w:t>
      </w:r>
    </w:p>
    <w:p>
      <w:pPr>
        <w:pStyle w:val="ListParagraph"/>
        <w:numPr>
          <w:ilvl w:val="0"/>
          <w:numId w:val="2"/>
        </w:numPr>
        <w:spacing w:after="80" w:line="300"/>
      </w:pPr>
      <w:r>
        <w:rPr>
          <w:sz w:val="22"/>
          <w:szCs w:val="22"/>
        </w:rPr>
        <w:t xml:space="preserve">Lee J et al. (2020). "BioBERT: a pre-trained biomedical language representation model for biomedical text mining." Bioinformatics. — Base técnica.</w:t>
      </w:r>
    </w:p>
    <w:p>
      <w:pPr>
        <w:pStyle w:val="Heading2"/>
        <w:spacing w:after="160" w:before="240"/>
      </w:pPr>
      <w:r>
        <w:rPr>
          <w:b/>
          <w:bCs/>
          <w:color w:val="2E74B5"/>
          <w:sz w:val="26"/>
          <w:szCs w:val="26"/>
        </w:rPr>
        <w:t xml:space="preserve">Tema 2 — MIMIC-IV en investigación de seguridad del paciente</w:t>
      </w:r>
    </w:p>
    <w:p>
      <w:pPr>
        <w:spacing w:after="120" w:line="320"/>
        <w:jc w:val="both"/>
      </w:pPr>
      <w:r>
        <w:rPr>
          <w:b w:val="false"/>
          <w:bCs w:val="false"/>
          <w:i w:val="false"/>
          <w:iCs w:val="false"/>
          <w:sz w:val="22"/>
          <w:szCs w:val="22"/>
        </w:rPr>
        <w:t xml:space="preserve">Objetivo del tema: justificar la elección de MIMIC-IV como dataset principal y mostrar el estado del arte en investigación de seguridad del paciente, mortalidad, complicaciones y predicción clínica sobre este corpus.</w:t>
      </w:r>
    </w:p>
    <w:p>
      <w:pPr>
        <w:pStyle w:val="Heading3"/>
        <w:spacing w:after="120" w:before="180"/>
      </w:pPr>
      <w:r>
        <w:rPr>
          <w:b/>
          <w:bCs/>
          <w:color w:val="2E74B5"/>
          <w:sz w:val="24"/>
          <w:szCs w:val="24"/>
        </w:rPr>
        <w:t xml:space="preserve">2.1. Scopus / Concytec</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TITLE-ABS-KEY ( ( "MIMIC-IV" OR "MIMIC IV" OR "Medical Information Mart for Intensive Care" ) AND ( "adverse event*" OR "patient safety" OR "complication*" OR "mortality prediction" OR "readmission" OR "length of stay" ) AND ( "machine learning" OR "deep learning" OR "natural language processing" OR "NLP" ) ) AND PUBYEAR &gt; 2021</w:t>
      </w:r>
    </w:p>
    <w:p>
      <w:pPr>
        <w:pStyle w:val="Heading3"/>
        <w:spacing w:after="120" w:before="180"/>
      </w:pPr>
      <w:r>
        <w:rPr>
          <w:b/>
          <w:bCs/>
          <w:color w:val="2E74B5"/>
          <w:sz w:val="24"/>
          <w:szCs w:val="24"/>
        </w:rPr>
        <w:t xml:space="preserve">2.2. IEEE Xplore</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("All Metadata":"MIMIC-IV" OR "All Metadata":"MIMIC IV") AND ("All Metadata":"patient safety" OR "All Metadata":"adverse event" OR "All Metadata":"mortality" OR "All Metadata":"complication") AND ("All Metadata":"machine learning" OR "All Metadata":"deep learning")
Filtros: 2022-2026</w:t>
      </w:r>
    </w:p>
    <w:p>
      <w:pPr>
        <w:pStyle w:val="Heading3"/>
        <w:spacing w:after="120" w:before="180"/>
      </w:pPr>
      <w:r>
        <w:rPr>
          <w:b/>
          <w:bCs/>
          <w:color w:val="2E74B5"/>
          <w:sz w:val="24"/>
          <w:szCs w:val="24"/>
        </w:rPr>
        <w:t xml:space="preserve">2.3. PubMed (recomendado para este tema por sesgo biomédico)</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("MIMIC-IV"[Title/Abstract] OR "MIMIC IV"[Title/Abstract]) AND ("adverse events"[MeSH Terms] OR "patient safety"[MeSH Terms] OR "mortality"[Title/Abstract] OR "complications"[Title/Abstract]) AND ("machine learning"[Title/Abstract] OR "deep learning"[Title/Abstract] OR "natural language processing"[Title/Abstract])
Filtros: 5 years</w:t>
      </w:r>
    </w:p>
    <w:p>
      <w:pPr>
        <w:pStyle w:val="Heading3"/>
        <w:spacing w:after="120" w:before="180"/>
      </w:pPr>
      <w:r>
        <w:rPr>
          <w:b/>
          <w:bCs/>
          <w:color w:val="2E74B5"/>
          <w:sz w:val="24"/>
          <w:szCs w:val="24"/>
        </w:rPr>
        <w:t xml:space="preserve">2.4. Google Scholar</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"MIMIC-IV" ("adverse event" OR "patient safety" OR mortality) ("machine learning" OR "deep learning" OR NLP)
Filtros: desde 2022</w:t>
      </w:r>
    </w:p>
    <w:p>
      <w:pPr>
        <w:pStyle w:val="Heading3"/>
        <w:spacing w:after="120" w:before="180"/>
      </w:pPr>
      <w:r>
        <w:rPr>
          <w:b/>
          <w:bCs/>
          <w:color w:val="2E74B5"/>
          <w:sz w:val="24"/>
          <w:szCs w:val="24"/>
        </w:rPr>
        <w:t xml:space="preserve">Anclas de partida</w:t>
      </w:r>
    </w:p>
    <w:p>
      <w:pPr>
        <w:pStyle w:val="ListParagraph"/>
        <w:numPr>
          <w:ilvl w:val="0"/>
          <w:numId w:val="2"/>
        </w:numPr>
        <w:spacing w:after="80" w:line="300"/>
      </w:pPr>
      <w:r>
        <w:rPr>
          <w:sz w:val="22"/>
          <w:szCs w:val="22"/>
        </w:rPr>
        <w:t xml:space="preserve">Johnson AEW et al. (2023). "MIMIC-IV, a freely accessible electronic health record dataset." Scientific Data. — Paper oficial del dataset, cita obligada.</w:t>
      </w:r>
    </w:p>
    <w:p>
      <w:pPr>
        <w:pStyle w:val="ListParagraph"/>
        <w:numPr>
          <w:ilvl w:val="0"/>
          <w:numId w:val="2"/>
        </w:numPr>
        <w:spacing w:after="80" w:line="300"/>
      </w:pPr>
      <w:r>
        <w:rPr>
          <w:sz w:val="22"/>
          <w:szCs w:val="22"/>
        </w:rPr>
        <w:t xml:space="preserve">Pollard TJ et al. (2018). "The eICU Collaborative Research Database, a freely available multi-center database for critical care research." Scientific Data. — Dataset hermano de MIMIC, útil para validación cruzada.</w:t>
      </w:r>
    </w:p>
    <w:p>
      <w:pPr>
        <w:pStyle w:val="Heading2"/>
        <w:spacing w:after="160" w:before="240"/>
      </w:pPr>
      <w:r>
        <w:rPr>
          <w:b/>
          <w:bCs/>
          <w:color w:val="2E74B5"/>
          <w:sz w:val="26"/>
          <w:szCs w:val="26"/>
        </w:rPr>
        <w:t xml:space="preserve">Tema 3 — Modelos de priorización de riesgo clínico y matrices de impacto</w:t>
      </w:r>
    </w:p>
    <w:p>
      <w:pPr>
        <w:spacing w:after="120" w:line="320"/>
        <w:jc w:val="both"/>
      </w:pPr>
      <w:r>
        <w:rPr>
          <w:b w:val="false"/>
          <w:bCs w:val="false"/>
          <w:i w:val="false"/>
          <w:iCs w:val="false"/>
          <w:sz w:val="22"/>
          <w:szCs w:val="22"/>
        </w:rPr>
        <w:t xml:space="preserve">Objetivo del tema: anclar el Modelo GEMSES en el estado del arte de modelos de priorización de riesgo en salud (FMEA, RPN, matrices de impacto), justificando por qué su operacionalización mediante IA constituye un aporte original.</w:t>
      </w:r>
    </w:p>
    <w:p>
      <w:pPr>
        <w:pStyle w:val="Heading3"/>
        <w:spacing w:after="120" w:before="180"/>
      </w:pPr>
      <w:r>
        <w:rPr>
          <w:b/>
          <w:bCs/>
          <w:color w:val="2E74B5"/>
          <w:sz w:val="24"/>
          <w:szCs w:val="24"/>
        </w:rPr>
        <w:t xml:space="preserve">3.1. Scopus / Concytec</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TITLE-ABS-KEY ( ( "risk priority number" OR "RPN" OR "FMEA" OR "failure mode and effects analysis" OR "risk matrix" OR "priority matrix" OR "risk scoring" ) AND ( "healthcare" OR "patient safety" OR "hospital" OR "clinical risk" ) AND ( "automated" OR "automation" OR "machine learning" OR "artificial intelligence" OR "decision support" ) ) AND PUBYEAR &gt; 2018</w:t>
      </w:r>
    </w:p>
    <w:p>
      <w:pPr>
        <w:pStyle w:val="Heading3"/>
        <w:spacing w:after="120" w:before="180"/>
      </w:pPr>
      <w:r>
        <w:rPr>
          <w:b/>
          <w:bCs/>
          <w:color w:val="2E74B5"/>
          <w:sz w:val="24"/>
          <w:szCs w:val="24"/>
        </w:rPr>
        <w:t xml:space="preserve">3.2. IEEE Xplore</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("All Metadata":"FMEA" OR "All Metadata":"risk priority number" OR "All Metadata":"risk matrix") AND ("All Metadata":"healthcare" OR "All Metadata":"patient safety") AND ("All Metadata":"machine learning" OR "All Metadata":"automation" OR "All Metadata":"AI")
Filtros: 2019-2026</w:t>
      </w:r>
    </w:p>
    <w:p>
      <w:pPr>
        <w:pStyle w:val="Heading3"/>
        <w:spacing w:after="120" w:before="180"/>
      </w:pPr>
      <w:r>
        <w:rPr>
          <w:b/>
          <w:bCs/>
          <w:color w:val="2E74B5"/>
          <w:sz w:val="24"/>
          <w:szCs w:val="24"/>
        </w:rPr>
        <w:t xml:space="preserve">3.3. ScienceDirect (Elsevier)</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("FMEA" OR "risk priority number" OR "healthcare risk matrix") AND ("patient safety" OR "adverse event") AND ("machine learning" OR automated OR "decision support")
Filtros: Research articles, 2019-2026</w:t>
      </w:r>
    </w:p>
    <w:p>
      <w:pPr>
        <w:pStyle w:val="Heading3"/>
        <w:spacing w:after="120" w:before="180"/>
      </w:pPr>
      <w:r>
        <w:rPr>
          <w:b/>
          <w:bCs/>
          <w:color w:val="2E74B5"/>
          <w:sz w:val="24"/>
          <w:szCs w:val="24"/>
        </w:rPr>
        <w:t xml:space="preserve">3.4. Google Scholar (búsqueda en español opcional)</w:t>
      </w:r>
    </w:p>
    <w:p>
      <w:pPr>
        <w:pBdr>
          <w:left w:val="single" w:color="1F3864" w:sz="24" w:space="8"/>
        </w:pBdr>
        <w:shd w:fill="F2F2F7" w:val="clear"/>
        <w:spacing w:after="200" w:before="100" w:line="280"/>
        <w:ind w:left="360" w:right="360"/>
        <w:jc w:val="left"/>
      </w:pPr>
      <w:r>
        <w:rPr>
          <w:rFonts w:ascii="Consolas" w:cs="Consolas" w:eastAsia="Consolas" w:hAnsi="Consolas"/>
          <w:sz w:val="20"/>
          <w:szCs w:val="20"/>
        </w:rPr>
        <w:t xml:space="preserve">("matriz de priorización" OR "matriz de riesgo") ("seguridad del paciente" OR "evento adverso") ("aprendizaje automático" OR "inteligencia artificial")
Filtros: desde 2020</w:t>
      </w:r>
    </w:p>
    <w:p>
      <w:pPr>
        <w:pStyle w:val="Heading3"/>
        <w:spacing w:after="120" w:before="180"/>
      </w:pPr>
      <w:r>
        <w:rPr>
          <w:b/>
          <w:bCs/>
          <w:color w:val="2E74B5"/>
          <w:sz w:val="24"/>
          <w:szCs w:val="24"/>
        </w:rPr>
        <w:t xml:space="preserve">Anclas de partida</w:t>
      </w:r>
    </w:p>
    <w:p>
      <w:pPr>
        <w:pStyle w:val="ListParagraph"/>
        <w:numPr>
          <w:ilvl w:val="0"/>
          <w:numId w:val="2"/>
        </w:numPr>
        <w:spacing w:after="80" w:line="300"/>
      </w:pPr>
      <w:r>
        <w:rPr>
          <w:sz w:val="22"/>
          <w:szCs w:val="22"/>
        </w:rPr>
        <w:t xml:space="preserve">Liu HC et al. (2019). "Risk evaluation in failure mode and effects analysis with extended MULTIMOORA method under interval-valued intuitionistic fuzzy environment." — Estado del arte cuantitativo en RPN.</w:t>
      </w:r>
    </w:p>
    <w:p>
      <w:pPr>
        <w:pStyle w:val="ListParagraph"/>
        <w:numPr>
          <w:ilvl w:val="0"/>
          <w:numId w:val="2"/>
        </w:numPr>
        <w:spacing w:after="80" w:line="300"/>
      </w:pPr>
      <w:r>
        <w:rPr>
          <w:sz w:val="22"/>
          <w:szCs w:val="22"/>
        </w:rPr>
        <w:t xml:space="preserve">Anjalee JAL et al. (2021). "Application of Failure Mode and Effect Analysis (FMEA) to improve medication safety: a systematic review." — Revisión sistemática útil para anclar.</w:t>
      </w:r>
    </w:p>
    <w:p>
      <w:pPr>
        <w:pStyle w:val="ListParagraph"/>
        <w:numPr>
          <w:ilvl w:val="0"/>
          <w:numId w:val="2"/>
        </w:numPr>
        <w:spacing w:after="80" w:line="300"/>
      </w:pPr>
      <w:r>
        <w:rPr>
          <w:sz w:val="22"/>
          <w:szCs w:val="22"/>
        </w:rPr>
        <w:t xml:space="preserve">Pérez-Pérez C. (2021). "Modelo de Excelencia: Gestión Moderna de Servicios de Salud – GEMSES." Lima, Perú. ISBN 978-612-00-6235-7. — TU PROPIO LIBRO. Cita obligada como marco teórico.</w:t>
      </w:r>
    </w:p>
    <w:p>
      <w:pPr>
        <w:pStyle w:val="Heading2"/>
        <w:spacing w:after="160" w:before="240"/>
      </w:pPr>
      <w:r>
        <w:rPr>
          <w:b/>
          <w:bCs/>
          <w:color w:val="2E74B5"/>
          <w:sz w:val="26"/>
          <w:szCs w:val="26"/>
        </w:rPr>
        <w:t xml:space="preserve">Estrategia recomendada de selección</w:t>
      </w:r>
    </w:p>
    <w:p>
      <w:pPr>
        <w:spacing w:after="120" w:line="320"/>
        <w:jc w:val="both"/>
      </w:pPr>
      <w:r>
        <w:rPr>
          <w:b w:val="false"/>
          <w:bCs w:val="false"/>
          <w:i w:val="false"/>
          <w:iCs w:val="false"/>
          <w:sz w:val="22"/>
          <w:szCs w:val="22"/>
        </w:rPr>
        <w:t xml:space="preserve">De cada string ejecutado, conservar los 5-10 papers de mayor relevancia. Aplicar los siguientes criterios de inclusión/exclusión jerárquicos:</w:t>
      </w:r>
    </w:p>
    <w:p>
      <w:pPr>
        <w:pStyle w:val="ListParagraph"/>
        <w:numPr>
          <w:ilvl w:val="0"/>
          <w:numId w:val="3"/>
        </w:numPr>
        <w:spacing w:after="80" w:line="300"/>
      </w:pPr>
      <w:r>
        <w:rPr>
          <w:sz w:val="22"/>
          <w:szCs w:val="22"/>
        </w:rPr>
        <w:t xml:space="preserve">Criterio de inclusión 1 (obligatorio): el paper trata empíricamente el problema (no es solo opinión o editorial).</w:t>
      </w:r>
    </w:p>
    <w:p>
      <w:pPr>
        <w:pStyle w:val="ListParagraph"/>
        <w:numPr>
          <w:ilvl w:val="0"/>
          <w:numId w:val="3"/>
        </w:numPr>
        <w:spacing w:after="80" w:line="300"/>
      </w:pPr>
      <w:r>
        <w:rPr>
          <w:sz w:val="22"/>
          <w:szCs w:val="22"/>
        </w:rPr>
        <w:t xml:space="preserve">Criterio de inclusión 2: publicado en revista indexada (Scopus Q1-Q3, JCR, o conferencia ranqueada CORE A/B).</w:t>
      </w:r>
    </w:p>
    <w:p>
      <w:pPr>
        <w:pStyle w:val="ListParagraph"/>
        <w:numPr>
          <w:ilvl w:val="0"/>
          <w:numId w:val="3"/>
        </w:numPr>
        <w:spacing w:after="80" w:line="300"/>
      </w:pPr>
      <w:r>
        <w:rPr>
          <w:sz w:val="22"/>
          <w:szCs w:val="22"/>
        </w:rPr>
        <w:t xml:space="preserve">Criterio de inclusión 3: publicado entre 2019 y 2026 (literatura reciente).</w:t>
      </w:r>
    </w:p>
    <w:p>
      <w:pPr>
        <w:pStyle w:val="ListParagraph"/>
        <w:numPr>
          <w:ilvl w:val="0"/>
          <w:numId w:val="3"/>
        </w:numPr>
        <w:spacing w:after="80" w:line="300"/>
      </w:pPr>
      <w:r>
        <w:rPr>
          <w:sz w:val="22"/>
          <w:szCs w:val="22"/>
        </w:rPr>
        <w:t xml:space="preserve">Criterio de exclusión 1: papers que solo describen el dataset sin aporte metodológico.</w:t>
      </w:r>
    </w:p>
    <w:p>
      <w:pPr>
        <w:pStyle w:val="ListParagraph"/>
        <w:numPr>
          <w:ilvl w:val="0"/>
          <w:numId w:val="3"/>
        </w:numPr>
        <w:spacing w:after="80" w:line="300"/>
      </w:pPr>
      <w:r>
        <w:rPr>
          <w:sz w:val="22"/>
          <w:szCs w:val="22"/>
        </w:rPr>
        <w:t xml:space="preserve">Criterio de exclusión 2: papers en idiomas distintos a inglés o español.</w:t>
      </w:r>
    </w:p>
    <w:p>
      <w:pPr>
        <w:pStyle w:val="ListParagraph"/>
        <w:numPr>
          <w:ilvl w:val="0"/>
          <w:numId w:val="3"/>
        </w:numPr>
        <w:spacing w:after="80" w:line="300"/>
      </w:pPr>
      <w:r>
        <w:rPr>
          <w:sz w:val="22"/>
          <w:szCs w:val="22"/>
        </w:rPr>
        <w:t xml:space="preserve">Criterio de exclusión 3: tesis no publicadas (excepto como referencia secundaria).</w:t>
      </w:r>
    </w:p>
    <w:p>
      <w:pPr>
        <w:spacing w:after="120" w:line="320"/>
        <w:jc w:val="both"/>
      </w:pPr>
      <w:r>
        <w:rPr>
          <w:b w:val="false"/>
          <w:bCs w:val="false"/>
          <w:i w:val="false"/>
          <w:iCs w:val="false"/>
          <w:sz w:val="22"/>
          <w:szCs w:val="22"/>
        </w:rPr>
        <w:t xml:space="preserve">Meta de selección: 3 papers por tema = 9 papers. Si un tema tiene exceso de candidatos, priorizar diversidad metodológica (no 3 papers usando la misma técnica).</w:t>
      </w:r>
    </w:p>
    <w:p>
      <w:pPr>
        <w:pStyle w:val="Heading2"/>
        <w:spacing w:after="160" w:before="240"/>
      </w:pPr>
      <w:r>
        <w:rPr>
          <w:b/>
          <w:bCs/>
          <w:color w:val="2E74B5"/>
          <w:sz w:val="26"/>
          <w:szCs w:val="26"/>
        </w:rPr>
        <w:t xml:space="preserve">Plantilla de ficha de resumen para cada paper</w:t>
      </w:r>
    </w:p>
    <w:p>
      <w:pPr>
        <w:spacing w:after="120" w:line="320"/>
        <w:jc w:val="both"/>
      </w:pPr>
      <w:r>
        <w:rPr>
          <w:b w:val="false"/>
          <w:bCs w:val="false"/>
          <w:i w:val="false"/>
          <w:iCs w:val="false"/>
          <w:sz w:val="22"/>
          <w:szCs w:val="22"/>
        </w:rPr>
        <w:t xml:space="preserve">Para cada uno de los 9 papers, generar una ficha con la siguiente estructura. Esto cumple con el requisito de la docente de “envío de resúmenes de los 9 artículos”: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1F3864" w:val="clear"/>
            <w:tcMar>
              <w:top w:type="dxa" w:w="100"/>
              <w:left w:type="dxa" w:w="140"/>
              <w:bottom w:type="dxa" w:w="100"/>
              <w:right w:type="dxa" w:w="140"/>
            </w:tcMar>
          </w:tcPr>
          <w:p>
            <w:pPr>
              <w:jc w:val="center"/>
            </w:pPr>
            <w:r>
              <w:rPr>
                <w:b/>
                <w:bCs/>
                <w:color w:val="FFFFFF"/>
                <w:sz w:val="20"/>
                <w:szCs w:val="20"/>
              </w:rPr>
              <w:t xml:space="preserve">Campo</w:t>
            </w:r>
          </w:p>
        </w:tc>
        <w:tc>
          <w:tcPr>
            <w:tcW w:type="dxa" w:w="6360"/>
            <w:tcBorders>
              <w:top w:val="single" w:color="808080" w:sz="4"/>
              <w:left w:val="single" w:color="808080" w:sz="4"/>
              <w:bottom w:val="single" w:color="808080" w:sz="4"/>
              <w:right w:val="single" w:color="808080" w:sz="4"/>
            </w:tcBorders>
            <w:shd w:fill="1F3864" w:val="clear"/>
            <w:tcMar>
              <w:top w:type="dxa" w:w="100"/>
              <w:left w:type="dxa" w:w="140"/>
              <w:bottom w:type="dxa" w:w="100"/>
              <w:right w:type="dxa" w:w="140"/>
            </w:tcMar>
          </w:tcPr>
          <w:p>
            <w:pPr>
              <w:jc w:val="center"/>
            </w:pPr>
            <w:r>
              <w:rPr>
                <w:b/>
                <w:bCs/>
                <w:color w:val="FFFFFF"/>
                <w:sz w:val="20"/>
                <w:szCs w:val="20"/>
              </w:rPr>
              <w:t xml:space="preserve">Contenido</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Cita BibTeX</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Entrada @article{} o @inproceedings{} completa</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Cita APA 7</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Cita normalizada según norma APA 7ª edición</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Tema asociado (1, 2 o 3)</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Tema de la propuesta de tesis al que aporta</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Problema de investigación</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¿Qué problema aborda el paper? (2-3 líneas)</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Método</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Técnica o algoritmo utilizado, dataset, métricas</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Resultados clave</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Hallazgos principales con cifras (precisión, F1, etc.)</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bCs/>
                <w:color w:val="000000"/>
                <w:sz w:val="20"/>
                <w:szCs w:val="20"/>
              </w:rPr>
              <w:t xml:space="preserve">Limitaciones declaradas</w:t>
            </w:r>
          </w:p>
        </w:tc>
        <w:tc>
          <w:tcPr>
            <w:tcW w:type="dxa" w:w="63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Lo que el propio paper reconoce como limitación</w:t>
            </w:r>
          </w:p>
        </w:tc>
      </w:tr>
      <w:tr>
        <w:tc>
          <w:tcPr>
            <w:tcW w:type="dxa" w:w="300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bCs/>
                <w:color w:val="000000"/>
                <w:sz w:val="20"/>
                <w:szCs w:val="20"/>
              </w:rPr>
              <w:t xml:space="preserve">Aporte a mi tesis</w:t>
            </w:r>
          </w:p>
        </w:tc>
        <w:tc>
          <w:tcPr>
            <w:tcW w:type="dxa" w:w="636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val="false"/>
                <w:bCs w:val="false"/>
                <w:color w:val="000000"/>
                <w:sz w:val="20"/>
                <w:szCs w:val="20"/>
              </w:rPr>
              <w:t xml:space="preserve">Cómo este paper alimenta mi marco teórico, método o discusión</w:t>
            </w:r>
          </w:p>
        </w:tc>
      </w:tr>
      <w:tr>
        <w:tc>
          <w:tcPr>
            <w:tcW w:type="dxa" w:w="300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bCs/>
                <w:color w:val="000000"/>
                <w:sz w:val="20"/>
                <w:szCs w:val="20"/>
              </w:rPr>
              <w:t xml:space="preserve">Vacío detectado</w:t>
            </w:r>
          </w:p>
        </w:tc>
        <w:tc>
          <w:tcPr>
            <w:tcW w:type="dxa" w:w="636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val="false"/>
                <w:bCs w:val="false"/>
                <w:color w:val="000000"/>
                <w:sz w:val="20"/>
                <w:szCs w:val="20"/>
              </w:rPr>
              <w:t xml:space="preserve">Qué NO hace el paper que mi tesis sí podría aportar</w:t>
            </w:r>
          </w:p>
        </w:tc>
      </w:tr>
    </w:tbl>
    <w:p>
      <w:r>
        <w:br w:type="page"/>
      </w:r>
    </w:p>
    <w:p>
      <w:pPr>
        <w:pStyle w:val="Heading1"/>
        <w:spacing w:after="200" w:before="360"/>
      </w:pPr>
      <w:r>
        <w:rPr>
          <w:b/>
          <w:bCs/>
          <w:color w:val="1F3864"/>
          <w:sz w:val="32"/>
          <w:szCs w:val="32"/>
        </w:rPr>
        <w:t xml:space="preserve">PARTE II – Guía paso a paso para credentialing PhysioNet</w:t>
      </w:r>
    </w:p>
    <w:p>
      <w:pPr>
        <w:spacing w:after="120" w:line="320"/>
        <w:jc w:val="both"/>
      </w:pPr>
      <w:r>
        <w:rPr>
          <w:b w:val="false"/>
          <w:bCs w:val="false"/>
          <w:i w:val="false"/>
          <w:iCs w:val="false"/>
          <w:sz w:val="22"/>
          <w:szCs w:val="22"/>
        </w:rPr>
        <w:t xml:space="preserve">Para acceder a MIMIC-IV se requiere completar el proceso de credentialing de PhysioNet, gestionado por el MIT Lab for Computational Physiology. Este es un trámite gratuito pero obligatorio. La duración total estimada es de 1 a 3 semanas, dependiendo de la velocidad de revisión. Por esta razón, es prioritario iniciarlo HOY.</w:t>
      </w:r>
    </w:p>
    <w:p>
      <w:pPr>
        <w:pStyle w:val="Heading2"/>
        <w:spacing w:after="160" w:before="240"/>
      </w:pPr>
      <w:r>
        <w:rPr>
          <w:b/>
          <w:bCs/>
          <w:color w:val="2E74B5"/>
          <w:sz w:val="26"/>
          <w:szCs w:val="26"/>
        </w:rPr>
        <w:t xml:space="preserve">Paso 1 — Crear cuenta en PhysioNet</w:t>
      </w:r>
    </w:p>
    <w:p>
      <w:pPr>
        <w:spacing w:after="120" w:line="320"/>
        <w:jc w:val="both"/>
      </w:pPr>
      <w:r>
        <w:rPr>
          <w:b w:val="false"/>
          <w:bCs w:val="false"/>
          <w:i w:val="false"/>
          <w:iCs w:val="false"/>
          <w:sz w:val="22"/>
          <w:szCs w:val="22"/>
        </w:rPr>
        <w:t xml:space="preserve">URL oficial:</w:t>
      </w:r>
    </w:p>
    <w:p>
      <w:pPr>
        <w:spacing w:after="80"/>
      </w:pPr>
      <w:r>
        <w:rPr>
          <w:sz w:val="22"/>
          <w:szCs w:val="22"/>
        </w:rPr>
        <w:t xml:space="preserve">• </w:t>
      </w:r>
      <w:hyperlink w:history="1" r:id="rIdnzhcxuie-e93f_r-geg6c">
        <w:r>
          <w:rPr>
            <w:rStyle w:val="Hyperlink"/>
            <w:color w:val="2E74B5"/>
            <w:sz w:val="22"/>
            <w:szCs w:val="22"/>
            <w:u w:val="single"/>
          </w:rPr>
          <w:t xml:space="preserve">https://physionet.org/register/</w:t>
        </w:r>
      </w:hyperlink>
    </w:p>
    <w:p>
      <w:pPr>
        <w:pStyle w:val="ListParagraph"/>
        <w:numPr>
          <w:ilvl w:val="0"/>
          <w:numId w:val="3"/>
        </w:numPr>
        <w:spacing w:after="80" w:line="300"/>
      </w:pPr>
      <w:r>
        <w:rPr>
          <w:sz w:val="22"/>
          <w:szCs w:val="22"/>
        </w:rPr>
        <w:t xml:space="preserve">Ingresar al enlace anterior y completar el formulario de registro.</w:t>
      </w:r>
    </w:p>
    <w:p>
      <w:pPr>
        <w:pStyle w:val="ListParagraph"/>
        <w:numPr>
          <w:ilvl w:val="0"/>
          <w:numId w:val="3"/>
        </w:numPr>
        <w:spacing w:after="80" w:line="300"/>
      </w:pPr>
      <w:r>
        <w:rPr>
          <w:sz w:val="22"/>
          <w:szCs w:val="22"/>
        </w:rPr>
        <w:t xml:space="preserve">Usar correo institucional si es posible (uni.edu.pe o essalud.gob.pe). Esto acelera la verificación porque PhysioNet valora afiliación institucional.</w:t>
      </w:r>
    </w:p>
    <w:p>
      <w:pPr>
        <w:pStyle w:val="ListParagraph"/>
        <w:numPr>
          <w:ilvl w:val="0"/>
          <w:numId w:val="3"/>
        </w:numPr>
        <w:spacing w:after="80" w:line="300"/>
      </w:pPr>
      <w:r>
        <w:rPr>
          <w:sz w:val="22"/>
          <w:szCs w:val="22"/>
        </w:rPr>
        <w:t xml:space="preserve">Datos a completar: nombre completo, correo, contraseña, país (Perú), afiliación institucional (Universidad Nacional de Ingeniería – Maestría en Inteligencia Artificial).</w:t>
      </w:r>
    </w:p>
    <w:p>
      <w:pPr>
        <w:pStyle w:val="ListParagraph"/>
        <w:numPr>
          <w:ilvl w:val="0"/>
          <w:numId w:val="3"/>
        </w:numPr>
        <w:spacing w:after="80" w:line="300"/>
      </w:pPr>
      <w:r>
        <w:rPr>
          <w:sz w:val="22"/>
          <w:szCs w:val="22"/>
        </w:rPr>
        <w:t xml:space="preserve">Confirmar el correo electrónico cuando llegue el mensaje de verificación.</w:t>
      </w:r>
    </w:p>
    <w:p>
      <w:pPr>
        <w:pStyle w:val="Heading2"/>
        <w:spacing w:after="160" w:before="240"/>
      </w:pPr>
      <w:r>
        <w:rPr>
          <w:b/>
          <w:bCs/>
          <w:color w:val="2E74B5"/>
          <w:sz w:val="26"/>
          <w:szCs w:val="26"/>
        </w:rPr>
        <w:t xml:space="preserve">Paso 2 — Completar el curso CITI Program (obligatorio)</w:t>
      </w:r>
    </w:p>
    <w:p>
      <w:pPr>
        <w:spacing w:after="120" w:line="320"/>
        <w:jc w:val="both"/>
      </w:pPr>
      <w:r>
        <w:rPr>
          <w:b w:val="false"/>
          <w:bCs w:val="false"/>
          <w:i w:val="false"/>
          <w:iCs w:val="false"/>
          <w:sz w:val="22"/>
          <w:szCs w:val="22"/>
        </w:rPr>
        <w:t xml:space="preserve">PhysioNet exige certificación en ética de investigación a través del CITI Program (Collaborative Institutional Training Initiative).</w:t>
      </w:r>
    </w:p>
    <w:p>
      <w:pPr>
        <w:spacing w:after="120" w:line="320"/>
        <w:jc w:val="both"/>
      </w:pPr>
      <w:r>
        <w:rPr>
          <w:b w:val="false"/>
          <w:bCs w:val="false"/>
          <w:i w:val="false"/>
          <w:iCs w:val="false"/>
          <w:sz w:val="22"/>
          <w:szCs w:val="22"/>
        </w:rPr>
        <w:t xml:space="preserve">URL del CITI Program:</w:t>
      </w:r>
    </w:p>
    <w:p>
      <w:pPr>
        <w:spacing w:after="80"/>
      </w:pPr>
      <w:r>
        <w:rPr>
          <w:sz w:val="22"/>
          <w:szCs w:val="22"/>
        </w:rPr>
        <w:t xml:space="preserve">• </w:t>
      </w:r>
      <w:hyperlink w:history="1" r:id="rIdaxe3aeteheqtz8ktqcnik">
        <w:r>
          <w:rPr>
            <w:rStyle w:val="Hyperlink"/>
            <w:color w:val="2E74B5"/>
            <w:sz w:val="22"/>
            <w:szCs w:val="22"/>
            <w:u w:val="single"/>
          </w:rPr>
          <w:t xml:space="preserve">https://about.citiprogram.org/</w:t>
        </w:r>
      </w:hyperlink>
    </w:p>
    <w:p>
      <w:pPr>
        <w:spacing w:after="120" w:line="320"/>
        <w:jc w:val="both"/>
      </w:pPr>
      <w:r>
        <w:rPr>
          <w:b w:val="false"/>
          <w:bCs w:val="false"/>
          <w:i w:val="false"/>
          <w:iCs w:val="false"/>
          <w:sz w:val="22"/>
          <w:szCs w:val="22"/>
        </w:rPr>
        <w:t xml:space="preserve">Pasos exactos:</w:t>
      </w:r>
    </w:p>
    <w:p>
      <w:pPr>
        <w:pStyle w:val="ListParagraph"/>
        <w:numPr>
          <w:ilvl w:val="0"/>
          <w:numId w:val="3"/>
        </w:numPr>
        <w:spacing w:after="80" w:line="300"/>
      </w:pPr>
      <w:r>
        <w:rPr>
          <w:sz w:val="22"/>
          <w:szCs w:val="22"/>
        </w:rPr>
        <w:t xml:space="preserve">Crear cuenta en CITI Program. Cuando pregunte por afiliación institucional, seleccionar "Independent Learner" si no encuentra la UNI o EsSalud (esto añade un pequeño costo, alrededor de USD 50). Si selecciona una institución afiliada, suele ser gratuito.</w:t>
      </w:r>
    </w:p>
    <w:p>
      <w:pPr>
        <w:pStyle w:val="ListParagraph"/>
        <w:numPr>
          <w:ilvl w:val="0"/>
          <w:numId w:val="3"/>
        </w:numPr>
        <w:spacing w:after="80" w:line="300"/>
      </w:pPr>
      <w:r>
        <w:rPr>
          <w:sz w:val="22"/>
          <w:szCs w:val="22"/>
        </w:rPr>
        <w:t xml:space="preserve">Inscribirse en el curso: "Data or Specimens Only Research" (NO el curso completo de Human Subjects Research, solo este específico).</w:t>
      </w:r>
    </w:p>
    <w:p>
      <w:pPr>
        <w:pStyle w:val="ListParagraph"/>
        <w:numPr>
          <w:ilvl w:val="0"/>
          <w:numId w:val="3"/>
        </w:numPr>
        <w:spacing w:after="80" w:line="300"/>
      </w:pPr>
      <w:r>
        <w:rPr>
          <w:sz w:val="22"/>
          <w:szCs w:val="22"/>
        </w:rPr>
        <w:t xml:space="preserve">Completar los 6-8 módulos del curso (3 a 4 horas en total, se puede pausar y retomar).</w:t>
      </w:r>
    </w:p>
    <w:p>
      <w:pPr>
        <w:pStyle w:val="ListParagraph"/>
        <w:numPr>
          <w:ilvl w:val="0"/>
          <w:numId w:val="3"/>
        </w:numPr>
        <w:spacing w:after="80" w:line="300"/>
      </w:pPr>
      <w:r>
        <w:rPr>
          <w:sz w:val="22"/>
          <w:szCs w:val="22"/>
        </w:rPr>
        <w:t xml:space="preserve">Aprobar el examen final con al menos 80%. Si no aprueba, puede repetir.</w:t>
      </w:r>
    </w:p>
    <w:p>
      <w:pPr>
        <w:pStyle w:val="ListParagraph"/>
        <w:numPr>
          <w:ilvl w:val="0"/>
          <w:numId w:val="3"/>
        </w:numPr>
        <w:spacing w:after="80" w:line="300"/>
      </w:pPr>
      <w:r>
        <w:rPr>
          <w:sz w:val="22"/>
          <w:szCs w:val="22"/>
        </w:rPr>
        <w:t xml:space="preserve">Descargar el "Completion Report" en formato PDF — este es el documento que se sube a PhysioNet.</w:t>
      </w:r>
    </w:p>
    <w:p>
      <w:pPr>
        <w:pStyle w:val="Heading2"/>
        <w:spacing w:after="160" w:before="240"/>
      </w:pPr>
      <w:r>
        <w:rPr>
          <w:b/>
          <w:bCs/>
          <w:color w:val="2E74B5"/>
          <w:sz w:val="26"/>
          <w:szCs w:val="26"/>
        </w:rPr>
        <w:t xml:space="preserve">Paso 3 — Subir credenciales en PhysioNet</w:t>
      </w:r>
    </w:p>
    <w:p>
      <w:pPr>
        <w:pStyle w:val="ListParagraph"/>
        <w:numPr>
          <w:ilvl w:val="0"/>
          <w:numId w:val="3"/>
        </w:numPr>
        <w:spacing w:after="80" w:line="300"/>
      </w:pPr>
      <w:r>
        <w:rPr>
          <w:sz w:val="22"/>
          <w:szCs w:val="22"/>
        </w:rPr>
        <w:t xml:space="preserve">Iniciar sesión en PhysioNet (https://physionet.org).</w:t>
      </w:r>
    </w:p>
    <w:p>
      <w:pPr>
        <w:pStyle w:val="ListParagraph"/>
        <w:numPr>
          <w:ilvl w:val="0"/>
          <w:numId w:val="3"/>
        </w:numPr>
        <w:spacing w:after="80" w:line="300"/>
      </w:pPr>
      <w:r>
        <w:rPr>
          <w:sz w:val="22"/>
          <w:szCs w:val="22"/>
        </w:rPr>
        <w:t xml:space="preserve">Ir a "Settings" → "Credentialing".</w:t>
      </w:r>
    </w:p>
    <w:p>
      <w:pPr>
        <w:pStyle w:val="ListParagraph"/>
        <w:numPr>
          <w:ilvl w:val="0"/>
          <w:numId w:val="3"/>
        </w:numPr>
        <w:spacing w:after="80" w:line="300"/>
      </w:pPr>
      <w:r>
        <w:rPr>
          <w:sz w:val="22"/>
          <w:szCs w:val="22"/>
        </w:rPr>
        <w:t xml:space="preserve">Subir el Completion Report del curso CITI.</w:t>
      </w:r>
    </w:p>
    <w:p>
      <w:pPr>
        <w:pStyle w:val="ListParagraph"/>
        <w:numPr>
          <w:ilvl w:val="0"/>
          <w:numId w:val="3"/>
        </w:numPr>
        <w:spacing w:after="80" w:line="300"/>
      </w:pPr>
      <w:r>
        <w:rPr>
          <w:sz w:val="22"/>
          <w:szCs w:val="22"/>
        </w:rPr>
        <w:t xml:space="preserve">Completar el formulario de research statement (ver plantilla más abajo).</w:t>
      </w:r>
    </w:p>
    <w:p>
      <w:pPr>
        <w:pStyle w:val="ListParagraph"/>
        <w:numPr>
          <w:ilvl w:val="0"/>
          <w:numId w:val="3"/>
        </w:numPr>
        <w:spacing w:after="80" w:line="300"/>
      </w:pPr>
      <w:r>
        <w:rPr>
          <w:sz w:val="22"/>
          <w:szCs w:val="22"/>
        </w:rPr>
        <w:t xml:space="preserve">Esperar revisión manual del equipo de PhysioNet (típicamente 7-14 días).</w:t>
      </w:r>
    </w:p>
    <w:p>
      <w:pPr>
        <w:pStyle w:val="Heading2"/>
        <w:spacing w:after="160" w:before="240"/>
      </w:pPr>
      <w:r>
        <w:rPr>
          <w:b/>
          <w:bCs/>
          <w:color w:val="2E74B5"/>
          <w:sz w:val="26"/>
          <w:szCs w:val="26"/>
        </w:rPr>
        <w:t xml:space="preserve">Paso 4 — Firmar el Data Use Agreement (DUA) de MIMIC-IV</w:t>
      </w:r>
    </w:p>
    <w:p>
      <w:pPr>
        <w:spacing w:after="120" w:line="320"/>
        <w:jc w:val="both"/>
      </w:pPr>
      <w:r>
        <w:rPr>
          <w:b w:val="false"/>
          <w:bCs w:val="false"/>
          <w:i w:val="false"/>
          <w:iCs w:val="false"/>
          <w:sz w:val="22"/>
          <w:szCs w:val="22"/>
        </w:rPr>
        <w:t xml:space="preserve">Una vez aprobado el credentialing:</w:t>
      </w:r>
    </w:p>
    <w:p>
      <w:pPr>
        <w:pStyle w:val="ListParagraph"/>
        <w:numPr>
          <w:ilvl w:val="0"/>
          <w:numId w:val="3"/>
        </w:numPr>
        <w:spacing w:after="80" w:line="300"/>
      </w:pPr>
      <w:r>
        <w:rPr>
          <w:sz w:val="22"/>
          <w:szCs w:val="22"/>
        </w:rPr>
        <w:t xml:space="preserve">Navegar a la página oficial de MIMIC-IV:</w:t>
      </w:r>
    </w:p>
    <w:p>
      <w:pPr>
        <w:spacing w:after="80"/>
      </w:pPr>
      <w:r>
        <w:rPr>
          <w:sz w:val="22"/>
          <w:szCs w:val="22"/>
        </w:rPr>
        <w:t xml:space="preserve">• </w:t>
      </w:r>
      <w:hyperlink w:history="1" r:id="rIdxslccms7ymsopgficwvcc">
        <w:r>
          <w:rPr>
            <w:rStyle w:val="Hyperlink"/>
            <w:color w:val="2E74B5"/>
            <w:sz w:val="22"/>
            <w:szCs w:val="22"/>
            <w:u w:val="single"/>
          </w:rPr>
          <w:t xml:space="preserve">https://physionet.org/content/mimiciv/</w:t>
        </w:r>
      </w:hyperlink>
    </w:p>
    <w:p>
      <w:pPr>
        <w:pStyle w:val="ListParagraph"/>
        <w:numPr>
          <w:ilvl w:val="0"/>
          <w:numId w:val="3"/>
        </w:numPr>
        <w:spacing w:after="80" w:line="300"/>
      </w:pPr>
      <w:r>
        <w:rPr>
          <w:sz w:val="22"/>
          <w:szCs w:val="22"/>
        </w:rPr>
        <w:t xml:space="preserve">Hacer clic en "Files" y aceptar el Data Use Agreement (acuerdo de no redistribución, anonimización, uso académico)."</w:t>
      </w:r>
    </w:p>
    <w:p>
      <w:pPr>
        <w:pStyle w:val="ListParagraph"/>
        <w:numPr>
          <w:ilvl w:val="0"/>
          <w:numId w:val="3"/>
        </w:numPr>
        <w:spacing w:after="80" w:line="300"/>
      </w:pPr>
      <w:r>
        <w:rPr>
          <w:sz w:val="22"/>
          <w:szCs w:val="22"/>
        </w:rPr>
        <w:t xml:space="preserve">Descargar los archivos. El dataset completo pesa aproximadamente 60-80 GB; descargar solo la tabla "noteevents" (~13 GB) si solo necesita las notas clínicas.</w:t>
      </w:r>
    </w:p>
    <w:p>
      <w:pPr>
        <w:pStyle w:val="Heading2"/>
        <w:spacing w:after="160" w:before="240"/>
      </w:pPr>
      <w:r>
        <w:rPr>
          <w:b/>
          <w:bCs/>
          <w:color w:val="2E74B5"/>
          <w:sz w:val="26"/>
          <w:szCs w:val="26"/>
        </w:rPr>
        <w:t xml:space="preserve">Paso 5 — (Opcional pero recomendado) Acceder vía BigQuery</w:t>
      </w:r>
    </w:p>
    <w:p>
      <w:pPr>
        <w:spacing w:after="120" w:line="320"/>
        <w:jc w:val="both"/>
      </w:pPr>
      <w:r>
        <w:rPr>
          <w:b w:val="false"/>
          <w:bCs w:val="false"/>
          <w:i w:val="false"/>
          <w:iCs w:val="false"/>
          <w:sz w:val="22"/>
          <w:szCs w:val="22"/>
        </w:rPr>
        <w:t xml:space="preserve">Google Cloud ofrece acceso gratuito a MIMIC-IV vía BigQuery, lo que evita descargar 80 GB localmente.</w:t>
      </w:r>
    </w:p>
    <w:p>
      <w:pPr>
        <w:spacing w:after="80"/>
      </w:pPr>
      <w:r>
        <w:rPr>
          <w:sz w:val="22"/>
          <w:szCs w:val="22"/>
        </w:rPr>
        <w:t xml:space="preserve">• </w:t>
      </w:r>
      <w:hyperlink w:history="1" r:id="rIdl5qnz1wv3jgvoepxuc71d">
        <w:r>
          <w:rPr>
            <w:rStyle w:val="Hyperlink"/>
            <w:color w:val="2E74B5"/>
            <w:sz w:val="22"/>
            <w:szCs w:val="22"/>
            <w:u w:val="single"/>
          </w:rPr>
          <w:t xml:space="preserve">https://physionet.org/content/mimic-iv-bigquery/</w:t>
        </w:r>
      </w:hyperlink>
    </w:p>
    <w:p>
      <w:pPr>
        <w:spacing w:after="120" w:line="320"/>
        <w:jc w:val="both"/>
      </w:pPr>
      <w:r>
        <w:rPr>
          <w:b w:val="false"/>
          <w:bCs w:val="false"/>
          <w:i w:val="false"/>
          <w:iCs w:val="false"/>
          <w:sz w:val="22"/>
          <w:szCs w:val="22"/>
        </w:rPr>
        <w:t xml:space="preserve">Permite hacer consultas SQL sobre el dataset sin descarga, usando hasta 1 TB/mes gratis del free tier de Google Cloud.</w:t>
      </w:r>
    </w:p>
    <w:p>
      <w:pPr>
        <w:pStyle w:val="Heading1"/>
        <w:spacing w:after="200" w:before="360"/>
      </w:pPr>
      <w:r>
        <w:rPr>
          <w:b/>
          <w:bCs/>
          <w:color w:val="1F3864"/>
          <w:sz w:val="32"/>
          <w:szCs w:val="32"/>
        </w:rPr>
        <w:t xml:space="preserve">Plantilla del Research Statement personalizado</w:t>
      </w:r>
    </w:p>
    <w:p>
      <w:pPr>
        <w:spacing w:after="120" w:line="320"/>
        <w:jc w:val="both"/>
      </w:pPr>
      <w:r>
        <w:rPr>
          <w:b w:val="false"/>
          <w:bCs w:val="false"/>
          <w:i w:val="false"/>
          <w:iCs w:val="false"/>
          <w:sz w:val="22"/>
          <w:szCs w:val="22"/>
        </w:rPr>
        <w:t xml:space="preserve">Cuando PhysioNet le pida describir el propósito de uso de los datos, copie y adapte el siguiente texto. Está redactado para alinearse con su tema de tesis:</w:t>
      </w:r>
    </w:p>
    <w:p>
      <w:pPr>
        <w:pBdr>
          <w:left w:val="single" w:color="1F3864" w:sz="24" w:space="8"/>
        </w:pBdr>
        <w:shd w:fill="F2F2F2" w:val="clear"/>
        <w:spacing w:after="200" w:before="200" w:line="320"/>
        <w:ind w:left="360" w:right="360"/>
        <w:jc w:val="both"/>
      </w:pPr>
      <w:r>
        <w:rPr>
          <w:i/>
          <w:iCs/>
          <w:sz w:val="22"/>
          <w:szCs w:val="22"/>
        </w:rPr>
        <w:t xml:space="preserve">I am a graduate student in the Master's Program in Artificial Intelligence at Universidad Nacional de Ingeniería (UNI), Lima, Peru. My thesis focuses on the development of an automated system for the detection and prioritization of adverse events from unstructured clinical notes using natural language processing (NLP) and machine learning techniques. Specifically, I propose to apply BioBERT and ClinicalBERT models to discharge summaries and physician notes from MIMIC-IV in order to identify patient safety events, classify them by type (medication errors, hospital-acquired infections, falls, surgical complications, etc.), and operationalize a risk prioritization matrix derived from a healthcare excellence model (GEMSES) currently adopted in Peruvian healthcare institutions through Directive GG-ESSALUD-2021. The methodological output of this study will be transferable to Spanish-language healthcare systems and intends to contribute to the broader field of clinical decision support and patient safety informatics. All analyses will be conducted in compliance with the MIMIC-IV Data Use Agreement, with no attempt at re-identification of patients, no redistribution of data, and full anonymization in any derived publications. The expected outputs are: (i) a peer-reviewed publication in a Q1/Q2 indexed journal in health informatics or patient safety, and (ii) a publicly available open-source code repository with the trained models and evaluation scripts.</w:t>
      </w:r>
    </w:p>
    <w:p>
      <w:pPr>
        <w:pStyle w:val="Heading1"/>
        <w:spacing w:after="200" w:before="360"/>
      </w:pPr>
      <w:r>
        <w:rPr>
          <w:b/>
          <w:bCs/>
          <w:color w:val="1F3864"/>
          <w:sz w:val="32"/>
          <w:szCs w:val="32"/>
        </w:rPr>
        <w:t xml:space="preserve">Checklist final – Acción HOY</w:t>
      </w:r>
    </w:p>
    <w:p>
      <w:pPr>
        <w:spacing w:after="120" w:line="320"/>
        <w:jc w:val="both"/>
      </w:pPr>
      <w:r>
        <w:rPr>
          <w:b w:val="false"/>
          <w:bCs w:val="false"/>
          <w:i w:val="false"/>
          <w:iCs w:val="false"/>
          <w:sz w:val="22"/>
          <w:szCs w:val="22"/>
        </w:rPr>
        <w:t xml:space="preserve">Marque cada paso conforme lo complete:</w:t>
      </w:r>
    </w:p>
    <w:p>
      <w:pPr>
        <w:pStyle w:val="ListParagraph"/>
        <w:numPr>
          <w:ilvl w:val="0"/>
          <w:numId w:val="2"/>
        </w:numPr>
        <w:spacing w:after="80" w:line="300"/>
      </w:pPr>
      <w:r>
        <w:rPr>
          <w:sz w:val="22"/>
          <w:szCs w:val="22"/>
        </w:rPr>
        <w:t xml:space="preserve">[ ] Registro en PhysioNet (15 minutos)</w:t>
      </w:r>
    </w:p>
    <w:p>
      <w:pPr>
        <w:pStyle w:val="ListParagraph"/>
        <w:numPr>
          <w:ilvl w:val="0"/>
          <w:numId w:val="2"/>
        </w:numPr>
        <w:spacing w:after="80" w:line="300"/>
      </w:pPr>
      <w:r>
        <w:rPr>
          <w:sz w:val="22"/>
          <w:szCs w:val="22"/>
        </w:rPr>
        <w:t xml:space="preserve">[ ] Verificación de correo electrónico (2 minutos)</w:t>
      </w:r>
    </w:p>
    <w:p>
      <w:pPr>
        <w:pStyle w:val="ListParagraph"/>
        <w:numPr>
          <w:ilvl w:val="0"/>
          <w:numId w:val="2"/>
        </w:numPr>
        <w:spacing w:after="80" w:line="300"/>
      </w:pPr>
      <w:r>
        <w:rPr>
          <w:sz w:val="22"/>
          <w:szCs w:val="22"/>
        </w:rPr>
        <w:t xml:space="preserve">[ ] Registro en CITI Program (10 minutos)</w:t>
      </w:r>
    </w:p>
    <w:p>
      <w:pPr>
        <w:pStyle w:val="ListParagraph"/>
        <w:numPr>
          <w:ilvl w:val="0"/>
          <w:numId w:val="2"/>
        </w:numPr>
        <w:spacing w:after="80" w:line="300"/>
      </w:pPr>
      <w:r>
        <w:rPr>
          <w:sz w:val="22"/>
          <w:szCs w:val="22"/>
        </w:rPr>
        <w:t xml:space="preserve">[ ] Inscripción al curso "Data or Specimens Only Research" (5 minutos)</w:t>
      </w:r>
    </w:p>
    <w:p>
      <w:pPr>
        <w:pStyle w:val="ListParagraph"/>
        <w:numPr>
          <w:ilvl w:val="0"/>
          <w:numId w:val="2"/>
        </w:numPr>
        <w:spacing w:after="80" w:line="300"/>
      </w:pPr>
      <w:r>
        <w:rPr>
          <w:sz w:val="22"/>
          <w:szCs w:val="22"/>
        </w:rPr>
        <w:t xml:space="preserve">[ ] Iniciar primer módulo del curso CITI (puede pausarse y retomar mañana)</w:t>
      </w:r>
    </w:p>
    <w:p>
      <w:pPr>
        <w:pStyle w:val="ListParagraph"/>
        <w:numPr>
          <w:ilvl w:val="0"/>
          <w:numId w:val="2"/>
        </w:numPr>
        <w:spacing w:after="80" w:line="300"/>
      </w:pPr>
      <w:r>
        <w:rPr>
          <w:sz w:val="22"/>
          <w:szCs w:val="22"/>
        </w:rPr>
        <w:t xml:space="preserve">[ ] (Mañana) Completar curso CITI y obtener Completion Report</w:t>
      </w:r>
    </w:p>
    <w:p>
      <w:pPr>
        <w:pStyle w:val="ListParagraph"/>
        <w:numPr>
          <w:ilvl w:val="0"/>
          <w:numId w:val="2"/>
        </w:numPr>
        <w:spacing w:after="80" w:line="300"/>
      </w:pPr>
      <w:r>
        <w:rPr>
          <w:sz w:val="22"/>
          <w:szCs w:val="22"/>
        </w:rPr>
        <w:t xml:space="preserve">[ ] Subir Completion Report a PhysioNet</w:t>
      </w:r>
    </w:p>
    <w:p>
      <w:pPr>
        <w:pStyle w:val="ListParagraph"/>
        <w:numPr>
          <w:ilvl w:val="0"/>
          <w:numId w:val="2"/>
        </w:numPr>
        <w:spacing w:after="80" w:line="300"/>
      </w:pPr>
      <w:r>
        <w:rPr>
          <w:sz w:val="22"/>
          <w:szCs w:val="22"/>
        </w:rPr>
        <w:t xml:space="preserve">[ ] Pegar Research Statement (plantilla incluida arriba)</w:t>
      </w:r>
    </w:p>
    <w:p>
      <w:pPr>
        <w:pStyle w:val="ListParagraph"/>
        <w:numPr>
          <w:ilvl w:val="0"/>
          <w:numId w:val="2"/>
        </w:numPr>
        <w:spacing w:after="80" w:line="300"/>
      </w:pPr>
      <w:r>
        <w:rPr>
          <w:sz w:val="22"/>
          <w:szCs w:val="22"/>
        </w:rPr>
        <w:t xml:space="preserve">[ ] Esperar aprobación (7-14 días) — durante este tiempo, avanzar con la búsqueda bibliográfica</w:t>
      </w:r>
    </w:p>
    <w:p>
      <w:pPr>
        <w:spacing w:before="400"/>
        <w:jc w:val="both"/>
      </w:pPr>
      <w:r>
        <w:rPr>
          <w:i/>
          <w:iCs/>
          <w:color w:val="808080"/>
          <w:sz w:val="20"/>
          <w:szCs w:val="20"/>
        </w:rPr>
        <w:t xml:space="preserve">Documento elaborado para Carlos Pérez Pérez. Lima, 27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Búsqueda bibliográfica + PhysioNet – MIA 303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zhcxuie-e93f_r-geg6c" Type="http://schemas.openxmlformats.org/officeDocument/2006/relationships/hyperlink" Target="https://physionet.org/register/" TargetMode="External"/><Relationship Id="rIdaxe3aeteheqtz8ktqcnik" Type="http://schemas.openxmlformats.org/officeDocument/2006/relationships/hyperlink" Target="https://about.citiprogram.org/" TargetMode="External"/><Relationship Id="rIdxslccms7ymsopgficwvcc" Type="http://schemas.openxmlformats.org/officeDocument/2006/relationships/hyperlink" Target="https://physionet.org/content/mimiciv/" TargetMode="External"/><Relationship Id="rIdl5qnz1wv3jgvoepxuc71d" Type="http://schemas.openxmlformats.org/officeDocument/2006/relationships/hyperlink" Target="https://physionet.org/content/mimic-iv-bigquer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Strings de busqueda y guia PhysioNet</dc:title>
  <dc:creator>Carlos Perez Perez</dc:creator>
  <cp:lastModifiedBy>Un-named</cp:lastModifiedBy>
  <cp:revision>1</cp:revision>
  <dcterms:created xsi:type="dcterms:W3CDTF">2026-04-28T03:46:01.810Z</dcterms:created>
  <dcterms:modified xsi:type="dcterms:W3CDTF">2026-04-28T03:46:01.810Z</dcterms:modified>
</cp:coreProperties>
</file>

<file path=docProps/custom.xml><?xml version="1.0" encoding="utf-8"?>
<Properties xmlns="http://schemas.openxmlformats.org/officeDocument/2006/custom-properties" xmlns:vt="http://schemas.openxmlformats.org/officeDocument/2006/docPropsVTypes"/>
</file>