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UNIVERSIDAD NACIONAL DE INGENIERÍA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FACULTAD DE INGENIERÍA INDUSTRIAL Y DE SISTEMAS</w:t>
      </w:r>
    </w:p>
    <w:p>
      <w:pPr>
        <w:spacing w:after="600"/>
        <w:jc w:val="center"/>
      </w:pPr>
      <w:r>
        <w:rPr>
          <w:b/>
          <w:bCs/>
          <w:sz w:val="22"/>
          <w:szCs w:val="22"/>
        </w:rPr>
        <w:t xml:space="preserve">UNIDAD DE POSGRADO — MAESTRÍA EN INTELIGENCIA ARTIFICIAL</w:t>
      </w:r>
    </w:p>
    <w:p>
      <w:pPr>
        <w:spacing w:after="200" w:before="600"/>
        <w:jc w:val="center"/>
      </w:pPr>
      <w:r>
        <w:rPr>
          <w:b/>
          <w:bCs/>
          <w:color w:val="1F3864"/>
          <w:sz w:val="24"/>
          <w:szCs w:val="24"/>
        </w:rPr>
        <w:t xml:space="preserve">BITÁCORA FORMAL DEL PROYECTO</w:t>
      </w:r>
    </w:p>
    <w:p>
      <w:pPr>
        <w:spacing w:after="600"/>
        <w:jc w:val="center"/>
      </w:pPr>
      <w:r>
        <w:rPr>
          <w:b/>
          <w:bCs/>
          <w:color w:val="1F3864"/>
          <w:sz w:val="32"/>
          <w:szCs w:val="32"/>
        </w:rPr>
        <w:t xml:space="preserve">Informe de Sesión Técnica</w:t>
      </w:r>
    </w:p>
    <w:p>
      <w:pPr>
        <w:spacing w:after="400"/>
        <w:jc w:val="center"/>
      </w:pPr>
      <w:r>
        <w:rPr>
          <w:i/>
          <w:iCs/>
          <w:color w:val="2E74B5"/>
          <w:sz w:val="24"/>
          <w:szCs w:val="24"/>
        </w:rPr>
        <w:t xml:space="preserve">Sesión del 14 de mayo de 2026</w:t>
      </w:r>
    </w:p>
    <w:p>
      <w:pPr>
        <w:spacing w:after="200" w:before="800"/>
        <w:jc w:val="center"/>
      </w:pPr>
      <w:r>
        <w:rPr>
          <w:b/>
          <w:bCs/>
          <w:sz w:val="22"/>
          <w:szCs w:val="22"/>
        </w:rPr>
        <w:t xml:space="preserve">Proyecto: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Detección automatizada y priorización de eventos adversos en notas clínicas mediante NLP y Matriz GEMSES sobre MIMIC-IV</w:t>
      </w:r>
    </w:p>
    <w:p>
      <w:pPr>
        <w:spacing w:after="100" w:before="600"/>
        <w:jc w:val="left"/>
      </w:pPr>
      <w:r>
        <w:rPr>
          <w:b/>
          <w:bCs/>
          <w:sz w:val="22"/>
          <w:szCs w:val="22"/>
        </w:rPr>
        <w:t xml:space="preserve">Autor del proyecto:</w:t>
      </w:r>
    </w:p>
    <w:p>
      <w:pPr>
        <w:spacing w:after="200"/>
        <w:jc w:val="left"/>
      </w:pPr>
      <w:r>
        <w:rPr>
          <w:sz w:val="22"/>
          <w:szCs w:val="22"/>
        </w:rPr>
        <w:t xml:space="preserve">Carlos Pérez Pérez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Curso:</w:t>
      </w:r>
    </w:p>
    <w:p>
      <w:pPr>
        <w:spacing w:after="200"/>
        <w:jc w:val="left"/>
      </w:pPr>
      <w:r>
        <w:rPr>
          <w:sz w:val="22"/>
          <w:szCs w:val="22"/>
        </w:rPr>
        <w:t xml:space="preserve">MIA 303 — Proyectos de Investigación I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Docente:</w:t>
      </w:r>
    </w:p>
    <w:p>
      <w:pPr>
        <w:spacing w:after="200"/>
        <w:jc w:val="left"/>
      </w:pPr>
      <w:r>
        <w:rPr>
          <w:sz w:val="22"/>
          <w:szCs w:val="22"/>
        </w:rPr>
        <w:t xml:space="preserve">Mg. Eng. Maria F. Tejada Begazo</w:t>
      </w:r>
    </w:p>
    <w:p>
      <w:pPr>
        <w:spacing w:after="400"/>
        <w:jc w:val="left"/>
      </w:pPr>
      <w:r>
        <w:rPr>
          <w:b/>
          <w:bCs/>
          <w:sz w:val="22"/>
          <w:szCs w:val="22"/>
        </w:rPr>
        <w:t xml:space="preserve">Responsable de la sesión: </w:t>
      </w:r>
      <w:r>
        <w:rPr>
          <w:i/>
          <w:iCs/>
          <w:sz w:val="22"/>
          <w:szCs w:val="22"/>
        </w:rPr>
        <w:t xml:space="preserve">Asistente técnico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Resumen ejecutivo</w:t>
      </w:r>
    </w:p>
    <w:p>
      <w:pPr>
        <w:spacing w:after="120" w:line="3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 esta sesión se dejó el proyecto de tesis con: (1) el dataset MIMIC-IV instalado y verificado; (2) la base de datos del Anexo 2 corregida desde la fuente oficial; (3) el puente automático entre las notas clínicas y el Anexo 2 construido y funcionando; y (4) un set de 20 detecciones listo para validación experta.</w:t>
      </w:r>
    </w:p>
    <w:p>
      <w:pPr>
        <w:spacing w:after="120" w:line="3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pasó de "datos sin abrir" a "primer cálculo de la Matriz GEMSES ejecutándose sobre datos reales".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Etapa 1 — Instalación y verificación del dataset MIMIC-IV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revisó el contenido descargado en C:\MIMIC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archivos ZIP + notas ya extraídas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descomprimió mimic-iv-3.1.zip (10.3 GB)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archivos: 22 de hosp/ + 9 de icu/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renombró la carpeta a mimiciv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Coincide con la ruta esperada por el notebook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verificó la integridad con huellas SHA-256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33/33 archivos íntegros — datos idénticos al original de PhysioNet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ejecutó el notebook tesis_exploracion_inicial.ipynb completo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errores; 11 vistas de datos conectadas</w:t>
            </w:r>
          </w:p>
        </w:tc>
      </w:tr>
    </w:tbl>
    <w:p>
      <w:pPr>
        <w:pBdr>
          <w:left w:val="single" w:color="1F3864" w:sz="24" w:space="8"/>
        </w:pBdr>
        <w:shd w:fill="E2EFDA" w:val="clear"/>
        <w:spacing w:after="200" w:before="200" w:line="320"/>
        <w:ind w:left="280" w:right="280"/>
        <w:jc w:val="both"/>
      </w:pPr>
      <w:r>
        <w:rPr>
          <w:b/>
          <w:bCs/>
          <w:color w:val="1F3864"/>
          <w:sz w:val="22"/>
          <w:szCs w:val="22"/>
        </w:rPr>
        <w:t xml:space="preserve">Hallazgo principal de la exploración:  </w:t>
      </w:r>
      <w:r>
        <w:rPr>
          <w:sz w:val="22"/>
          <w:szCs w:val="22"/>
        </w:rPr>
        <w:t xml:space="preserve">El corpus tiene 331 793 epicrisis de 145 914 pacientes. Solo el 0.14 % de las notas caben enteras en los 512 tokens de BioBERT/ClinicalBERT — el 99.86 % requiere segmentación. Dato citable en el Capítulo III.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Etapa 2 — Corrección de la base de datos del Anexo 2</w:t>
      </w:r>
    </w:p>
    <w:p>
      <w:pPr>
        <w:spacing w:after="120" w:line="3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Esta fue la etapa más delicada. Se detectaron y resolvieron varios problemas de integridad de datos en las versiones previas del Anexo 2 de la Directiva GG-ESSALUD-2021.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2.1 Problemas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Gravedad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PDF "Directiva_Eventos_Adversos_EsSalud.pdf" estaba 100 % corrupto (8 MB de bytes vacíos)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Existían dos versiones contradictorias del "Anexo 2" (una con códigos numéricos 101, 102, …; otra con códigos CIR-01)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CSV procesado tenía la codificación rota (acentos mostrados como INFECCI�N)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naturaleza "Infección asociada a la atención" estaba partida en 5 variantes de texto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Impacto no cuadraba con la fórmula GEMSES en 33 eventos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2.2 Acciones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solicitó la fuente oficial; Carlos entregó "Directiva ERSP - Anexo 2.xlsx"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Fuente de verdad confirmada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verificó la fórmula del Impacto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directiva usa pesos 0.40 / 0.20 / 0.15 / 0.20 (Insatisfacción pesa 0.20, no 0.25 como el libro genérico)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regeneró anexo2_eventos_adversos.csv desde el Excel oficial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231 eventos, 12 naturalezas, codificación UTF-8 correcta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normalizó la naturaleza "Infección"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5 variantes consolidadas a 1 sola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agregaron columnas de trazabilidad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impacto (oficial), impacto_formula (teórico), verificacion (OK / REVISAR)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cargó la tabla anexo2_eventos_adversos en gemses.db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Antes la base estaba vacía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archivó la versión NO oficial (códigos CIR-01)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Movida a processed/_descartado/, no borrada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respaldó el CSV anterior incorrecto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Guardado como .bak_20260514_093339</w:t>
            </w:r>
          </w:p>
        </w:tc>
      </w:tr>
    </w:tbl>
    <w:p>
      <w:pPr>
        <w:pBdr>
          <w:left w:val="single" w:color="1F3864" w:sz="24" w:space="8"/>
        </w:pBdr>
        <w:shd w:fill="FFF2CC" w:val="clear"/>
        <w:spacing w:after="200" w:before="200" w:line="320"/>
        <w:ind w:left="280" w:right="280"/>
        <w:jc w:val="both"/>
      </w:pPr>
      <w:r>
        <w:rPr>
          <w:b/>
          <w:bCs/>
          <w:color w:val="1F3864"/>
          <w:sz w:val="22"/>
          <w:szCs w:val="22"/>
        </w:rPr>
        <w:t xml:space="preserve">Observación entregada:  </w:t>
      </w:r>
      <w:r>
        <w:rPr>
          <w:sz w:val="22"/>
          <w:szCs w:val="22"/>
        </w:rPr>
        <w:t xml:space="preserve">33 de 231 eventos tienen un Impacto que no cuadra con ninguna fórmula. Se identificó una pista: en los eventos administrativos con c=0, d=0, el valor oficial cuadra si el Sobrecosto pesara 0.35. Probable ponderación distinta para procesos de soporte — pendiente de confirmar con el texto de la directiva.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Etapa 3 — Construcción del puente MIMIC ↔ Anexo 2</w:t>
      </w:r>
    </w:p>
    <w:p>
      <w:pPr>
        <w:spacing w:after="120" w:line="3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reto: las notas clínicas de MIMIC-IV están en inglés; el Anexo 2 de la Directiva GG-ESSALUD-2021 está en español. No se pueden cruzar directamente, requiere una capa de mapeo idiomático.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creó el diccionario de mapeo mapeo_anexo2_ingles.json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 eventos del Anexo 2 → 186 patrones en inglés clínico, cada uno con nivel de confianza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construyó el notebook fase2_deteccion_anexo2.ipynb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Conecta MIMIC + gemses.db y aplica la Matriz GEMSES completa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ejecutó el notebook de extremo a extremo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errores en la corrida completa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3.1 Resultado de la primera corrida sobre muestra de 2 000 epicrisis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1 358 notas (67.9 %) con al menos un evento detectado.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2 500 detecciones, 35 tipos de evento distintos.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Matriz GEMSES calculada: Índice de Frecuencia (B) → Impacto (G) → Riesgo (H) → Índice de Impacto (I) → Nivel de Gestión (J) → clasificación Verde / Amarillo / Rojo.</w:t>
      </w:r>
    </w:p>
    <w:p>
      <w:pPr>
        <w:pBdr>
          <w:left w:val="single" w:color="1F3864" w:sz="24" w:space="8"/>
        </w:pBdr>
        <w:shd w:fill="FFF2CC" w:val="clear"/>
        <w:spacing w:after="200" w:before="200" w:line="320"/>
        <w:ind w:left="280" w:right="280"/>
        <w:jc w:val="both"/>
      </w:pPr>
      <w:r>
        <w:rPr>
          <w:b/>
          <w:bCs/>
          <w:color w:val="1F3864"/>
          <w:sz w:val="22"/>
          <w:szCs w:val="22"/>
        </w:rPr>
        <w:t xml:space="preserve">Limitación documentada:  </w:t>
      </w:r>
      <w:r>
        <w:rPr>
          <w:sz w:val="22"/>
          <w:szCs w:val="22"/>
        </w:rPr>
        <w:t xml:space="preserve">El 67.9 % está inflado porque la detección por palabras clave aún no maneja negación ("no pneumonia" se cuenta como positivo). Esa es la limitación que debe resolver la fase posterior con BioBERT / ClinicalBERT y procesamiento de negación contextual (algoritmos NegEx o equivalentes).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Etapa 4 — Preparación de la validación experta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seleccionaron 20 detecciones estratificadas (alta/media/baja confianza)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representativa de los 3 niveles de certeza del detector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extrajo el fragmento de texto (±350 caracteres) de cada nota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 campo discharge.text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tradujeron los 20 fragmentos al castellano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Columna fragmento_es agregada al CSV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generó fase2_validacion_experta_20notas.csv + guía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Listo para que Carlos lo llene con el panel experto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Archivos producidos en esta sesión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En C:\BASE DATOS\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processed/anexo2_eventos_adversos.csv — Anexo 2 corregido desde fuente oficial Excel (reemplazado).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processed/anexo2_eventos_adversos.csv.bak_20260514_093339 — respaldo del CSV anterior incorrecto.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processed/_descartado/ — carpeta con la versión no oficial archivada y su archivo LÉEME explicativo.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db/gemses.db — base DuckDB con la tabla anexo2_eventos_adversos cargada y operativa.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En C:\MIMIC\tesis\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notebooks/fase2_deteccion_anexo2.ipynb — notebook del puente MIMIC ↔ Anexo 2.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notebooks/mapeo_anexo2_ingles.json — diccionario de mapeo bilingüe ES ↔ 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fase2_detecciones_weak_supervision.csv — corpus pre-etiquetado de 2 500 filas.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fase2_matriz_gemses_muestra.csv — Matriz GEMSES de la muestra (35 eventos consolidados).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fase2_validacion_experta_20notas.csv — set de validación experta.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fase2_validacion_experta_GUIA.txt — guía instructiva para el experto evaluador.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Estado del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PhysioNet + DUA firmado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descargados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instalados, verificados y conectados (33/33 archivos íntegros SHA-256)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Anexo 2 corregido desde la directiva oficial (231 eventos, 12 naturalezas)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Puente MIMIC ↔ Anexo 2 construido y funcionando (51 eventos → 186 patrones EN)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experta de 20 notas — EN CURSO (Carlos)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BioBERT/ClinicalBERT — siguiente paso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1: corpus etiquetado de 5 000 notas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Fases 3-6: arquitectura multimodal, Matriz GEMSES completa, panel experto independiente, transferencia al castellano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Puntos pendientes y decisiones por tomar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Validación experta: Carlos está llenando el CSV de 20 notas. Al terminar se calcula la precisión inicial del detector y se ajusta el umbral de confianza.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Los 33 eventos marcados como REVISAR: confirmar con el texto de la directiva si efectivamente usan ponderación distinta para procesos administrativos / de soporte. Posible peso 0.35 para Sobrecosto en eventos con c=0, d=0.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Power BI: si existe un dashboard conectado al archivo powerbi/ersp_eventos_adversos.csv, hay que reapuntarlo al CSV corregido (anexo2_eventos_adversos.csv).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El PDF corrupto de la directiva: conviene reemplazarlo por una copia que abra correctamente, como respaldo institucional de la fuente original.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Hallazgo metodológico importante</w:t>
      </w:r>
    </w:p>
    <w:p>
      <w:pPr>
        <w:pBdr>
          <w:left w:val="single" w:color="1F3864" w:sz="24" w:space="8"/>
        </w:pBdr>
        <w:shd w:fill="FCE4D6" w:val="clear"/>
        <w:spacing w:after="200" w:before="200" w:line="320"/>
        <w:ind w:left="280" w:right="280"/>
        <w:jc w:val="both"/>
      </w:pPr>
      <w:r>
        <w:rPr>
          <w:b/>
          <w:bCs/>
          <w:color w:val="1F3864"/>
          <w:sz w:val="22"/>
          <w:szCs w:val="22"/>
        </w:rPr>
        <w:t xml:space="preserve">Discrepancia de pesos entre la directiva oficial y el libro GEMSES:  </w:t>
      </w:r>
      <w:r>
        <w:rPr>
          <w:sz w:val="22"/>
          <w:szCs w:val="22"/>
        </w:rPr>
        <w:t xml:space="preserve">El libro "Modelo de Excelencia GEMSES" (Pérez Pérez, 2021) reporta pesos de 0.40 / 0.20 / 0.15 / 0.25 (suma = 1.00) para las cuatro dimensiones de la Matriz de Priorización. El archivo Excel oficial de la Directiva GG-ESSALUD-2021 utiliza pesos de 0.40 / 0.20 / 0.15 / 0.20 (suma = 0.95). La discrepancia debe documentarse en el Capítulo II del plan de tesis y debe definirse cuál de las dos ponderaciones se adoptará para la implementación del pipeline. Decisión sugerida: utilizar la ponderación oficial de la directiva por su carácter normativo vinculante, e incorporar la del libro como ablation comparativa.</w:t>
      </w:r>
    </w:p>
    <w:p>
      <w:pPr>
        <w:spacing w:before="400"/>
        <w:jc w:val="both"/>
      </w:pPr>
      <w:r>
        <w:rPr>
          <w:i/>
          <w:iCs/>
          <w:color w:val="808080"/>
          <w:sz w:val="20"/>
          <w:szCs w:val="20"/>
        </w:rPr>
        <w:t xml:space="preserve">Documento elaborado como bitácora formal de la sesión técnica del 14 de mayo de 2026, anexo al expediente del curso MIA 303 y al material suplementario del proyecto de tesis.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Informe Sesión 14-May-2026 — Carlos Pérez Pérez — MIA 303 UNI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Sesion 14 Mayo 2026</dc:title>
  <dc:creator>Carlos Perez Perez</dc:creator>
  <cp:lastModifiedBy>Un-named</cp:lastModifiedBy>
  <cp:revision>1</cp:revision>
  <dcterms:created xsi:type="dcterms:W3CDTF">2026-05-15T01:28:18.668Z</dcterms:created>
  <dcterms:modified xsi:type="dcterms:W3CDTF">2026-05-15T01:28:18.669Z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