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7FC72" w14:textId="77777777" w:rsidR="00F67EF2" w:rsidRPr="00AA339C" w:rsidRDefault="00000000">
      <w:pPr>
        <w:spacing w:after="120" w:line="432" w:lineRule="exact"/>
        <w:jc w:val="center"/>
        <w:rPr>
          <w:lang w:val="es-PE"/>
        </w:rPr>
      </w:pPr>
      <w:r w:rsidRPr="00AA339C">
        <w:rPr>
          <w:rFonts w:cs="Times New Roman"/>
          <w:b/>
          <w:sz w:val="28"/>
          <w:lang w:val="es-PE"/>
        </w:rPr>
        <w:t>UNIVERSIDAD NACIONAL DE INGENIERÍA</w:t>
      </w:r>
    </w:p>
    <w:p w14:paraId="24BC6E38" w14:textId="77777777" w:rsidR="00F67EF2" w:rsidRPr="00AA339C" w:rsidRDefault="00000000">
      <w:pPr>
        <w:spacing w:after="120" w:line="432" w:lineRule="exact"/>
        <w:jc w:val="center"/>
        <w:rPr>
          <w:lang w:val="es-PE"/>
        </w:rPr>
      </w:pPr>
      <w:r w:rsidRPr="00AA339C">
        <w:rPr>
          <w:rFonts w:cs="Times New Roman"/>
          <w:b/>
          <w:lang w:val="es-PE"/>
        </w:rPr>
        <w:t>FACULTAD DE INGENIERÍA INDUSTRIAL Y DE SISTEMAS</w:t>
      </w:r>
    </w:p>
    <w:p w14:paraId="6BDD14C9" w14:textId="77777777" w:rsidR="00F67EF2" w:rsidRPr="00AA339C" w:rsidRDefault="00000000">
      <w:pPr>
        <w:spacing w:after="720" w:line="432" w:lineRule="exact"/>
        <w:jc w:val="center"/>
        <w:rPr>
          <w:lang w:val="es-PE"/>
        </w:rPr>
      </w:pPr>
      <w:r w:rsidRPr="00AA339C">
        <w:rPr>
          <w:rFonts w:cs="Times New Roman"/>
          <w:b/>
          <w:lang w:val="es-PE"/>
        </w:rPr>
        <w:t>UNIDAD DE POSGRADO — MAESTRÍA EN INTELIGENCIA ARTIFICIAL</w:t>
      </w:r>
    </w:p>
    <w:p w14:paraId="1B7356F0" w14:textId="77777777" w:rsidR="00F67EF2" w:rsidRPr="00AA339C" w:rsidRDefault="00000000">
      <w:pPr>
        <w:spacing w:after="360" w:line="432" w:lineRule="exact"/>
        <w:jc w:val="center"/>
        <w:rPr>
          <w:lang w:val="es-PE"/>
        </w:rPr>
      </w:pPr>
      <w:r w:rsidRPr="00AA339C">
        <w:rPr>
          <w:rFonts w:cs="Times New Roman"/>
          <w:b/>
          <w:color w:val="1F3864"/>
          <w:sz w:val="28"/>
          <w:lang w:val="es-PE"/>
        </w:rPr>
        <w:t>PROYECTO DE INVESTIGACIÓN</w:t>
      </w:r>
    </w:p>
    <w:p w14:paraId="32DAE8AA" w14:textId="77777777" w:rsidR="00F67EF2" w:rsidRPr="00AA339C" w:rsidRDefault="00000000">
      <w:pPr>
        <w:spacing w:after="720" w:line="432" w:lineRule="exact"/>
        <w:jc w:val="center"/>
        <w:rPr>
          <w:lang w:val="es-PE"/>
        </w:rPr>
      </w:pPr>
      <w:r w:rsidRPr="00AA339C">
        <w:rPr>
          <w:rFonts w:cs="Times New Roman"/>
          <w:b/>
          <w:lang w:val="es-PE"/>
        </w:rPr>
        <w:t>«DETECCIÓN AUTOMATIZADA Y PRIORIZACIÓN DE EVENTOS ADVERSOS EN NOTAS CLÍNICAS MEDIANTE UN FLUJO DE PROCESAMIENTO (PIPELINE) DE NLP Y APRENDIZAJE AUTOMÁTICO — APLICACIÓN DE LA MATRIZ DE PRIORIZACIÓN DEL MODELO GEMSES SOBRE MIMIC-IV»</w:t>
      </w:r>
    </w:p>
    <w:p w14:paraId="131C936F" w14:textId="77777777" w:rsidR="00F67EF2" w:rsidRPr="00AA339C" w:rsidRDefault="00000000">
      <w:pPr>
        <w:spacing w:after="480" w:line="432" w:lineRule="exact"/>
        <w:jc w:val="center"/>
        <w:rPr>
          <w:lang w:val="es-PE"/>
        </w:rPr>
      </w:pPr>
      <w:r w:rsidRPr="00AA339C">
        <w:rPr>
          <w:rFonts w:cs="Times New Roman"/>
          <w:b/>
          <w:lang w:val="es-PE"/>
        </w:rPr>
        <w:t>TRABAJO PARCIAL — CAPÍTULOS I Y II</w:t>
      </w:r>
    </w:p>
    <w:p w14:paraId="4A50BC5A" w14:textId="77777777" w:rsidR="00F67EF2" w:rsidRPr="00AA339C" w:rsidRDefault="00000000">
      <w:pPr>
        <w:spacing w:after="80" w:line="432" w:lineRule="exact"/>
        <w:jc w:val="center"/>
        <w:rPr>
          <w:lang w:val="es-PE"/>
        </w:rPr>
      </w:pPr>
      <w:r w:rsidRPr="00AA339C">
        <w:rPr>
          <w:rFonts w:cs="Times New Roman"/>
          <w:lang w:val="es-PE"/>
        </w:rPr>
        <w:t>Elaborado por:</w:t>
      </w:r>
    </w:p>
    <w:p w14:paraId="165696EC" w14:textId="77777777" w:rsidR="00F67EF2" w:rsidRPr="00AA339C" w:rsidRDefault="00000000">
      <w:pPr>
        <w:spacing w:after="360" w:line="432" w:lineRule="exact"/>
        <w:jc w:val="center"/>
        <w:rPr>
          <w:lang w:val="es-PE"/>
        </w:rPr>
      </w:pPr>
      <w:r w:rsidRPr="00AA339C">
        <w:rPr>
          <w:rFonts w:cs="Times New Roman"/>
          <w:b/>
          <w:lang w:val="es-PE"/>
        </w:rPr>
        <w:t xml:space="preserve">Carlos Pérez </w:t>
      </w:r>
      <w:proofErr w:type="spellStart"/>
      <w:r w:rsidRPr="00AA339C">
        <w:rPr>
          <w:rFonts w:cs="Times New Roman"/>
          <w:b/>
          <w:lang w:val="es-PE"/>
        </w:rPr>
        <w:t>Pérez</w:t>
      </w:r>
      <w:proofErr w:type="spellEnd"/>
    </w:p>
    <w:p w14:paraId="12E8A77D" w14:textId="77777777" w:rsidR="00F67EF2" w:rsidRPr="00AA339C" w:rsidRDefault="00000000">
      <w:pPr>
        <w:spacing w:after="80" w:line="432" w:lineRule="exact"/>
        <w:jc w:val="center"/>
        <w:rPr>
          <w:lang w:val="es-PE"/>
        </w:rPr>
      </w:pPr>
      <w:r w:rsidRPr="00AA339C">
        <w:rPr>
          <w:rFonts w:cs="Times New Roman"/>
          <w:lang w:val="es-PE"/>
        </w:rPr>
        <w:t>Curso: MIA-303 — Proyectos de Investigación I</w:t>
      </w:r>
    </w:p>
    <w:p w14:paraId="026E3264" w14:textId="77777777" w:rsidR="00F67EF2" w:rsidRPr="00AA339C" w:rsidRDefault="00000000">
      <w:pPr>
        <w:spacing w:after="720" w:line="432" w:lineRule="exact"/>
        <w:jc w:val="center"/>
        <w:rPr>
          <w:lang w:val="es-PE"/>
        </w:rPr>
      </w:pPr>
      <w:r w:rsidRPr="00AA339C">
        <w:rPr>
          <w:rFonts w:cs="Times New Roman"/>
          <w:lang w:val="es-PE"/>
        </w:rPr>
        <w:t>Docente: Mg. María Tejada Begazo</w:t>
      </w:r>
    </w:p>
    <w:p w14:paraId="588FE0D9" w14:textId="77777777" w:rsidR="00F67EF2" w:rsidRPr="00AA339C" w:rsidRDefault="00000000">
      <w:pPr>
        <w:spacing w:after="0" w:line="432" w:lineRule="exact"/>
        <w:jc w:val="center"/>
        <w:rPr>
          <w:lang w:val="es-PE"/>
        </w:rPr>
      </w:pPr>
      <w:r w:rsidRPr="00AA339C">
        <w:rPr>
          <w:rFonts w:cs="Times New Roman"/>
          <w:lang w:val="es-PE"/>
        </w:rPr>
        <w:t>Lima — Perú, 2026</w:t>
      </w:r>
    </w:p>
    <w:p w14:paraId="22B1B95B" w14:textId="77777777" w:rsidR="00F67EF2" w:rsidRPr="00AA339C" w:rsidRDefault="00000000">
      <w:pPr>
        <w:rPr>
          <w:lang w:val="es-PE"/>
        </w:rPr>
      </w:pPr>
      <w:r w:rsidRPr="00AA339C">
        <w:rPr>
          <w:lang w:val="es-PE"/>
        </w:rPr>
        <w:br w:type="page"/>
      </w:r>
    </w:p>
    <w:p w14:paraId="17209E58" w14:textId="77777777" w:rsidR="00F67EF2" w:rsidRPr="00AA339C" w:rsidRDefault="00000000">
      <w:pPr>
        <w:spacing w:before="360" w:after="240" w:line="432" w:lineRule="exact"/>
        <w:jc w:val="center"/>
        <w:rPr>
          <w:lang w:val="es-PE"/>
        </w:rPr>
      </w:pPr>
      <w:r w:rsidRPr="00AA339C">
        <w:rPr>
          <w:rFonts w:cs="Times New Roman"/>
          <w:b/>
          <w:sz w:val="26"/>
          <w:lang w:val="es-PE"/>
        </w:rPr>
        <w:lastRenderedPageBreak/>
        <w:t>CAPÍTULO I: PLANTEAMIENTO DEL PROBLEMA Y JUSTIFICACIÓN</w:t>
      </w:r>
    </w:p>
    <w:p w14:paraId="596757FB" w14:textId="77777777" w:rsidR="00F67EF2" w:rsidRPr="00AA339C" w:rsidRDefault="00000000">
      <w:pPr>
        <w:spacing w:before="280" w:after="160" w:line="432" w:lineRule="exact"/>
        <w:jc w:val="both"/>
        <w:rPr>
          <w:lang w:val="es-PE"/>
        </w:rPr>
      </w:pPr>
      <w:r w:rsidRPr="00AA339C">
        <w:rPr>
          <w:rFonts w:cs="Times New Roman"/>
          <w:b/>
          <w:lang w:val="es-PE"/>
        </w:rPr>
        <w:t>1.1 Planteamiento del Problema</w:t>
      </w:r>
    </w:p>
    <w:p w14:paraId="6CA712FF" w14:textId="77777777" w:rsidR="00F67EF2" w:rsidRPr="00AA339C" w:rsidRDefault="00000000">
      <w:pPr>
        <w:spacing w:line="432" w:lineRule="exact"/>
        <w:ind w:firstLine="709"/>
        <w:jc w:val="both"/>
        <w:rPr>
          <w:lang w:val="es-PE"/>
        </w:rPr>
      </w:pPr>
      <w:r w:rsidRPr="00AA339C">
        <w:rPr>
          <w:rFonts w:cs="Times New Roman"/>
          <w:lang w:val="es-PE"/>
        </w:rPr>
        <w:t>La seguridad del paciente constituye uno de los principales retos de los sistemas de salud contemporáneos. Según la Organización Mundial de la Salud (OMS, 2019), los eventos adversos derivados de la atención sanitaria figuran entre las diez principales causas de muerte y discapacidad en el mundo, generando además costos sustanciales para los sistemas asistenciales. En el Perú, el Registro Nacional de Instituciones Prestadoras de Servicios de Salud (RENIPRESS) registra 26,663 establecimientos activos que atienden a más de 33 millones de personas, distribuidos en doce tipos institucionales: sector privado (16,685 IPRESS), Gobierno Regional (8,380), MINSA (510), EsSalud (408), Sanidades de las Fuerzas Armadas y Policiales, SISOL, gobiernos locales y otros. EsSalud, que concentra la mayor densidad de hospitalizaciones de tercer nivel, aprobó en 2021 la Directiva GG-ESSALUD «Registro, Notificación y Gestión de los Eventos Relacionados con la Seguridad del Paciente (ERSP)», la cual incorpora explícitamente la Matriz de Priorización del Modelo de Gestión Moderna de los Servicios de Salud (GEMSES) como herramienta normativa para clasificar el nivel de riesgo y de gestión de los eventos.</w:t>
      </w:r>
    </w:p>
    <w:p w14:paraId="6090A02B" w14:textId="77777777" w:rsidR="00F67EF2" w:rsidRPr="00AA339C" w:rsidRDefault="00000000">
      <w:pPr>
        <w:spacing w:line="432" w:lineRule="exact"/>
        <w:ind w:firstLine="709"/>
        <w:jc w:val="both"/>
        <w:rPr>
          <w:lang w:val="es-PE"/>
        </w:rPr>
      </w:pPr>
      <w:r w:rsidRPr="00AA339C">
        <w:rPr>
          <w:rFonts w:cs="Times New Roman"/>
          <w:lang w:val="es-PE"/>
        </w:rPr>
        <w:t xml:space="preserve">Sin embargo, el proceso de identificación y priorización depende todavía del registro voluntario de los profesionales de la salud y del análisis manual de las descripciones libres consignadas en las notas clínicas. Esta dependencia genera tres obstáculos persistentes: (i) la </w:t>
      </w:r>
      <w:proofErr w:type="spellStart"/>
      <w:r w:rsidRPr="00AA339C">
        <w:rPr>
          <w:rFonts w:cs="Times New Roman"/>
          <w:lang w:val="es-PE"/>
        </w:rPr>
        <w:t>subnotificación</w:t>
      </w:r>
      <w:proofErr w:type="spellEnd"/>
      <w:r w:rsidRPr="00AA339C">
        <w:rPr>
          <w:rFonts w:cs="Times New Roman"/>
          <w:lang w:val="es-PE"/>
        </w:rPr>
        <w:t xml:space="preserve"> voluntaria, asociada al temor de repercusiones laborales; (</w:t>
      </w:r>
      <w:proofErr w:type="spellStart"/>
      <w:r w:rsidRPr="00AA339C">
        <w:rPr>
          <w:rFonts w:cs="Times New Roman"/>
          <w:lang w:val="es-PE"/>
        </w:rPr>
        <w:t>ii</w:t>
      </w:r>
      <w:proofErr w:type="spellEnd"/>
      <w:r w:rsidRPr="00AA339C">
        <w:rPr>
          <w:rFonts w:cs="Times New Roman"/>
          <w:lang w:val="es-PE"/>
        </w:rPr>
        <w:t>) la dependencia de descripciones en lenguaje natural que dificultan su codificación, agregación y análisis sistemático; y (</w:t>
      </w:r>
      <w:proofErr w:type="spellStart"/>
      <w:r w:rsidRPr="00AA339C">
        <w:rPr>
          <w:rFonts w:cs="Times New Roman"/>
          <w:lang w:val="es-PE"/>
        </w:rPr>
        <w:t>iii</w:t>
      </w:r>
      <w:proofErr w:type="spellEnd"/>
      <w:r w:rsidRPr="00AA339C">
        <w:rPr>
          <w:rFonts w:cs="Times New Roman"/>
          <w:lang w:val="es-PE"/>
        </w:rPr>
        <w:t>) la falta de mecanismos automatizados que prioricen los eventos de mayor riesgo para escalarlos al nivel de gestión adecuado en tiempo oportuno.</w:t>
      </w:r>
    </w:p>
    <w:p w14:paraId="275D823D" w14:textId="4FA09112" w:rsidR="00F67EF2" w:rsidRPr="00AA339C" w:rsidRDefault="00000000">
      <w:pPr>
        <w:spacing w:line="432" w:lineRule="exact"/>
        <w:ind w:firstLine="709"/>
        <w:jc w:val="both"/>
        <w:rPr>
          <w:lang w:val="es-PE"/>
        </w:rPr>
      </w:pPr>
      <w:r w:rsidRPr="00AA339C">
        <w:rPr>
          <w:rFonts w:cs="Times New Roman"/>
          <w:lang w:val="es-PE"/>
        </w:rPr>
        <w:t xml:space="preserve">En el caso específico de EsSalud, la Directiva GG-ESSALUD-2021 establece un flujo formal de Registro → Notificación → Validación → Codificación → Priorización → Mitigación → Análisis de Causa Raíz → Plan de Acción. Aunque la directiva normaliza la Matriz de Priorización GEMSES como instrumento oficial, su aplicación efectiva requiere que personal </w:t>
      </w:r>
      <w:r w:rsidR="00AA339C">
        <w:rPr>
          <w:rFonts w:cs="Times New Roman"/>
          <w:lang w:val="es-PE"/>
        </w:rPr>
        <w:t xml:space="preserve">lo </w:t>
      </w:r>
      <w:r w:rsidRPr="00AA339C">
        <w:rPr>
          <w:rFonts w:cs="Times New Roman"/>
          <w:lang w:val="es-PE"/>
        </w:rPr>
        <w:t xml:space="preserve">procese manualmente cada notificación, lo que constituye un cuello de botella </w:t>
      </w:r>
      <w:r w:rsidRPr="00AA339C">
        <w:rPr>
          <w:rFonts w:cs="Times New Roman"/>
          <w:lang w:val="es-PE"/>
        </w:rPr>
        <w:lastRenderedPageBreak/>
        <w:t>estructural que hace el proceso lento, costoso y vulnerable a la heterogeneidad en la interpretación.</w:t>
      </w:r>
    </w:p>
    <w:p w14:paraId="495A3839" w14:textId="77777777" w:rsidR="00F67EF2" w:rsidRPr="00AA339C" w:rsidRDefault="00000000">
      <w:pPr>
        <w:spacing w:line="432" w:lineRule="exact"/>
        <w:ind w:firstLine="709"/>
        <w:jc w:val="both"/>
        <w:rPr>
          <w:lang w:val="es-PE"/>
        </w:rPr>
      </w:pPr>
      <w:r w:rsidRPr="00AA339C">
        <w:rPr>
          <w:rFonts w:cs="Times New Roman"/>
          <w:lang w:val="es-PE"/>
        </w:rPr>
        <w:t xml:space="preserve">La presente investigación propone aprovechar los avances recientes en procesamiento de lenguaje natural (NLP) y aprendizaje automático para automatizar la detección de 188 de los 231 eventos adversos del Anexo 02 de la Directiva GG-ESSALUD-2021 en notas clínicas no estructuradas, y la posterior aplicación de la Matriz de Priorización GEMSES. Dada la ausencia de acceso a registros institucionales peruanos, el estudio se desarrollará sobre el </w:t>
      </w:r>
      <w:proofErr w:type="spellStart"/>
      <w:r w:rsidRPr="00AA339C">
        <w:rPr>
          <w:rFonts w:cs="Times New Roman"/>
          <w:lang w:val="es-PE"/>
        </w:rPr>
        <w:t>dataset</w:t>
      </w:r>
      <w:proofErr w:type="spellEnd"/>
      <w:r w:rsidRPr="00AA339C">
        <w:rPr>
          <w:rFonts w:cs="Times New Roman"/>
          <w:lang w:val="es-PE"/>
        </w:rPr>
        <w:t xml:space="preserve"> abierto MIMIC-IV (Medical </w:t>
      </w:r>
      <w:proofErr w:type="spellStart"/>
      <w:r w:rsidRPr="00AA339C">
        <w:rPr>
          <w:rFonts w:cs="Times New Roman"/>
          <w:lang w:val="es-PE"/>
        </w:rPr>
        <w:t>Information</w:t>
      </w:r>
      <w:proofErr w:type="spellEnd"/>
      <w:r w:rsidRPr="00AA339C">
        <w:rPr>
          <w:rFonts w:cs="Times New Roman"/>
          <w:lang w:val="es-PE"/>
        </w:rPr>
        <w:t xml:space="preserve"> </w:t>
      </w:r>
      <w:proofErr w:type="gramStart"/>
      <w:r w:rsidRPr="00AA339C">
        <w:rPr>
          <w:rFonts w:cs="Times New Roman"/>
          <w:lang w:val="es-PE"/>
        </w:rPr>
        <w:t>Mart</w:t>
      </w:r>
      <w:proofErr w:type="gramEnd"/>
      <w:r w:rsidRPr="00AA339C">
        <w:rPr>
          <w:rFonts w:cs="Times New Roman"/>
          <w:lang w:val="es-PE"/>
        </w:rPr>
        <w:t xml:space="preserve"> </w:t>
      </w:r>
      <w:proofErr w:type="spellStart"/>
      <w:r w:rsidRPr="00AA339C">
        <w:rPr>
          <w:rFonts w:cs="Times New Roman"/>
          <w:lang w:val="es-PE"/>
        </w:rPr>
        <w:t>for</w:t>
      </w:r>
      <w:proofErr w:type="spellEnd"/>
      <w:r w:rsidRPr="00AA339C">
        <w:rPr>
          <w:rFonts w:cs="Times New Roman"/>
          <w:lang w:val="es-PE"/>
        </w:rPr>
        <w:t xml:space="preserve"> Intensive Care, versión IV). El estudio se concibe como un demostrador técnico de viabilidad: demuestra que la automatización GEMSES es realizable con datos clínicos reales, generando un protocolo documentado y replicable que las instituciones peruanas —cuyo sistema nacional aún carece de soporte normativo e infraestructura para esta automatización— podrán adoptar cuando se habiliten los accesos correspondientes.</w:t>
      </w:r>
    </w:p>
    <w:p w14:paraId="252BC949" w14:textId="77777777" w:rsidR="00F67EF2" w:rsidRPr="00AA339C" w:rsidRDefault="00000000">
      <w:pPr>
        <w:spacing w:before="280" w:after="160" w:line="432" w:lineRule="exact"/>
        <w:jc w:val="both"/>
        <w:rPr>
          <w:lang w:val="es-PE"/>
        </w:rPr>
      </w:pPr>
      <w:r w:rsidRPr="00AA339C">
        <w:rPr>
          <w:rFonts w:cs="Times New Roman"/>
          <w:b/>
          <w:lang w:val="es-PE"/>
        </w:rPr>
        <w:t>1.2 Formulación del Problema</w:t>
      </w:r>
    </w:p>
    <w:p w14:paraId="1BD5C28C" w14:textId="77777777" w:rsidR="00F67EF2" w:rsidRPr="00AA339C" w:rsidRDefault="00000000">
      <w:pPr>
        <w:spacing w:line="432" w:lineRule="exact"/>
        <w:ind w:firstLine="709"/>
        <w:jc w:val="both"/>
        <w:rPr>
          <w:lang w:val="es-PE"/>
        </w:rPr>
      </w:pPr>
      <w:r w:rsidRPr="00AA339C">
        <w:rPr>
          <w:rFonts w:cs="Times New Roman"/>
          <w:lang w:val="es-PE"/>
        </w:rPr>
        <w:t xml:space="preserve">La gestión de eventos adversos en los servicios de salud presenta brechas críticas en la detección oportuna, la codificación consistente y la priorización basada en evidencia. Los modelos manuales dependen del criterio subjetivo del profesional y generan </w:t>
      </w:r>
      <w:proofErr w:type="spellStart"/>
      <w:r w:rsidRPr="00AA339C">
        <w:rPr>
          <w:rFonts w:cs="Times New Roman"/>
          <w:lang w:val="es-PE"/>
        </w:rPr>
        <w:t>subnotificación</w:t>
      </w:r>
      <w:proofErr w:type="spellEnd"/>
      <w:r w:rsidRPr="00AA339C">
        <w:rPr>
          <w:rFonts w:cs="Times New Roman"/>
          <w:lang w:val="es-PE"/>
        </w:rPr>
        <w:t xml:space="preserve"> sistemática. Más aún, incluso cuando un evento se reporta, la cadena de gestión presenta cuatro puntos de quiebre sucesivos: (i) el evento se </w:t>
      </w:r>
      <w:proofErr w:type="gramStart"/>
      <w:r w:rsidRPr="00AA339C">
        <w:rPr>
          <w:rFonts w:cs="Times New Roman"/>
          <w:lang w:val="es-PE"/>
        </w:rPr>
        <w:t>registra</w:t>
      </w:r>
      <w:proofErr w:type="gramEnd"/>
      <w:r w:rsidRPr="00AA339C">
        <w:rPr>
          <w:rFonts w:cs="Times New Roman"/>
          <w:lang w:val="es-PE"/>
        </w:rPr>
        <w:t xml:space="preserve"> pero no se analiza, por saturación del personal de calidad; (</w:t>
      </w:r>
      <w:proofErr w:type="spellStart"/>
      <w:r w:rsidRPr="00AA339C">
        <w:rPr>
          <w:rFonts w:cs="Times New Roman"/>
          <w:lang w:val="es-PE"/>
        </w:rPr>
        <w:t>ii</w:t>
      </w:r>
      <w:proofErr w:type="spellEnd"/>
      <w:r w:rsidRPr="00AA339C">
        <w:rPr>
          <w:rFonts w:cs="Times New Roman"/>
          <w:lang w:val="es-PE"/>
        </w:rPr>
        <w:t xml:space="preserve">) se </w:t>
      </w:r>
      <w:proofErr w:type="gramStart"/>
      <w:r w:rsidRPr="00AA339C">
        <w:rPr>
          <w:rFonts w:cs="Times New Roman"/>
          <w:lang w:val="es-PE"/>
        </w:rPr>
        <w:t>analiza</w:t>
      </w:r>
      <w:proofErr w:type="gramEnd"/>
      <w:r w:rsidRPr="00AA339C">
        <w:rPr>
          <w:rFonts w:cs="Times New Roman"/>
          <w:lang w:val="es-PE"/>
        </w:rPr>
        <w:t xml:space="preserve"> pero no se prioriza, por ausencia de herramientas de clasificación estandarizada; (</w:t>
      </w:r>
      <w:proofErr w:type="spellStart"/>
      <w:r w:rsidRPr="00AA339C">
        <w:rPr>
          <w:rFonts w:cs="Times New Roman"/>
          <w:lang w:val="es-PE"/>
        </w:rPr>
        <w:t>iii</w:t>
      </w:r>
      <w:proofErr w:type="spellEnd"/>
      <w:r w:rsidRPr="00AA339C">
        <w:rPr>
          <w:rFonts w:cs="Times New Roman"/>
          <w:lang w:val="es-PE"/>
        </w:rPr>
        <w:t xml:space="preserve">) se </w:t>
      </w:r>
      <w:proofErr w:type="gramStart"/>
      <w:r w:rsidRPr="00AA339C">
        <w:rPr>
          <w:rFonts w:cs="Times New Roman"/>
          <w:lang w:val="es-PE"/>
        </w:rPr>
        <w:t>prioriza</w:t>
      </w:r>
      <w:proofErr w:type="gramEnd"/>
      <w:r w:rsidRPr="00AA339C">
        <w:rPr>
          <w:rFonts w:cs="Times New Roman"/>
          <w:lang w:val="es-PE"/>
        </w:rPr>
        <w:t xml:space="preserve"> pero no se asigna un responsable con plazo definido; y (</w:t>
      </w:r>
      <w:proofErr w:type="spellStart"/>
      <w:r w:rsidRPr="00AA339C">
        <w:rPr>
          <w:rFonts w:cs="Times New Roman"/>
          <w:lang w:val="es-PE"/>
        </w:rPr>
        <w:t>iv</w:t>
      </w:r>
      <w:proofErr w:type="spellEnd"/>
      <w:r w:rsidRPr="00AA339C">
        <w:rPr>
          <w:rFonts w:cs="Times New Roman"/>
          <w:lang w:val="es-PE"/>
        </w:rPr>
        <w:t>) se gestiona puntualmente pero no existe un indicador permanente de control de calidad que mida la recurrencia del evento. Este patrón impide que los sistemas de salud aprendan de sus errores y escalen la vigilancia frente al volumen de notas clínicas generadas en hospitales de tercer nivel.</w:t>
      </w:r>
    </w:p>
    <w:p w14:paraId="72954435" w14:textId="77777777" w:rsidR="00F67EF2" w:rsidRPr="00AA339C" w:rsidRDefault="00000000">
      <w:pPr>
        <w:spacing w:line="432" w:lineRule="exact"/>
        <w:ind w:firstLine="709"/>
        <w:jc w:val="both"/>
        <w:rPr>
          <w:lang w:val="es-PE"/>
        </w:rPr>
      </w:pPr>
      <w:r w:rsidRPr="00AA339C">
        <w:rPr>
          <w:rFonts w:cs="Times New Roman"/>
          <w:lang w:val="es-PE"/>
        </w:rPr>
        <w:t>En consecuencia, el problema central se formula mediante la siguiente pregunta de investigación:</w:t>
      </w:r>
    </w:p>
    <w:p w14:paraId="63668CCE" w14:textId="77777777" w:rsidR="00F67EF2" w:rsidRPr="00AA339C" w:rsidRDefault="00000000">
      <w:pPr>
        <w:spacing w:line="432" w:lineRule="exact"/>
        <w:jc w:val="both"/>
        <w:rPr>
          <w:lang w:val="es-PE"/>
        </w:rPr>
      </w:pPr>
      <w:r w:rsidRPr="00AA339C">
        <w:rPr>
          <w:rFonts w:cs="Times New Roman"/>
          <w:lang w:val="es-PE"/>
        </w:rPr>
        <w:lastRenderedPageBreak/>
        <w:t xml:space="preserve">¿En qué medida un pipeline integrado de procesamiento de lenguaje natural y aprendizaje automático supervisado, aplicado sobre notas clínicas no estructuradas del </w:t>
      </w:r>
      <w:proofErr w:type="spellStart"/>
      <w:r w:rsidRPr="00AA339C">
        <w:rPr>
          <w:rFonts w:cs="Times New Roman"/>
          <w:lang w:val="es-PE"/>
        </w:rPr>
        <w:t>dataset</w:t>
      </w:r>
      <w:proofErr w:type="spellEnd"/>
      <w:r w:rsidRPr="00AA339C">
        <w:rPr>
          <w:rFonts w:cs="Times New Roman"/>
          <w:lang w:val="es-PE"/>
        </w:rPr>
        <w:t xml:space="preserve"> MIMIC-IV, permite detectar eventos adversos y aplicar la Matriz de Priorización del Modelo GEMSES —incluyendo la asignación automática del Nivel de Gestión y del responsable institucional— con una concordancia significativamente mayor a la clasificación manual experta tradicional?</w:t>
      </w:r>
    </w:p>
    <w:p w14:paraId="703495DF" w14:textId="77777777" w:rsidR="00F67EF2" w:rsidRPr="00AA339C" w:rsidRDefault="00000000">
      <w:pPr>
        <w:spacing w:before="280" w:after="160" w:line="432" w:lineRule="exact"/>
        <w:jc w:val="both"/>
        <w:rPr>
          <w:lang w:val="es-PE"/>
        </w:rPr>
      </w:pPr>
      <w:r w:rsidRPr="00AA339C">
        <w:rPr>
          <w:rFonts w:cs="Times New Roman"/>
          <w:b/>
          <w:lang w:val="es-PE"/>
        </w:rPr>
        <w:t>1.3 Justificación</w:t>
      </w:r>
    </w:p>
    <w:p w14:paraId="2C668074" w14:textId="77777777" w:rsidR="00F67EF2" w:rsidRPr="00AA339C" w:rsidRDefault="00000000">
      <w:pPr>
        <w:spacing w:line="432" w:lineRule="exact"/>
        <w:ind w:firstLine="709"/>
        <w:jc w:val="both"/>
        <w:rPr>
          <w:lang w:val="es-PE"/>
        </w:rPr>
      </w:pPr>
      <w:r w:rsidRPr="00AA339C">
        <w:rPr>
          <w:rFonts w:cs="Times New Roman"/>
          <w:lang w:val="es-PE"/>
        </w:rPr>
        <w:t>La presente investigación se justifica desde cuatro dimensiones complementarias:</w:t>
      </w:r>
    </w:p>
    <w:p w14:paraId="735AA01B" w14:textId="77777777" w:rsidR="00F67EF2" w:rsidRPr="00AA339C" w:rsidRDefault="00000000">
      <w:pPr>
        <w:spacing w:before="160" w:after="120" w:line="432" w:lineRule="exact"/>
        <w:jc w:val="both"/>
        <w:rPr>
          <w:lang w:val="es-PE"/>
        </w:rPr>
      </w:pPr>
      <w:r w:rsidRPr="00AA339C">
        <w:rPr>
          <w:rFonts w:cs="Times New Roman"/>
          <w:b/>
          <w:lang w:val="es-PE"/>
        </w:rPr>
        <w:t>1.3.1 Justificación Teórica</w:t>
      </w:r>
    </w:p>
    <w:p w14:paraId="76BD0DF6" w14:textId="77777777" w:rsidR="00F67EF2" w:rsidRPr="00AA339C" w:rsidRDefault="00000000">
      <w:pPr>
        <w:spacing w:line="432" w:lineRule="exact"/>
        <w:ind w:firstLine="709"/>
        <w:jc w:val="both"/>
        <w:rPr>
          <w:lang w:val="es-PE"/>
        </w:rPr>
      </w:pPr>
      <w:r w:rsidRPr="00AA339C">
        <w:rPr>
          <w:rFonts w:cs="Times New Roman"/>
          <w:lang w:val="es-PE"/>
        </w:rPr>
        <w:t xml:space="preserve">El campo de la detección automática de eventos adversos en texto clínico ha avanzado sustancialmente en los últimos años, con trabajos basados en sistemas de supervisión débil (Ratner et al., 2017), modelos de </w:t>
      </w:r>
      <w:proofErr w:type="spellStart"/>
      <w:r w:rsidRPr="00AA339C">
        <w:rPr>
          <w:rFonts w:cs="Times New Roman"/>
          <w:lang w:val="es-PE"/>
        </w:rPr>
        <w:t>transformers</w:t>
      </w:r>
      <w:proofErr w:type="spellEnd"/>
      <w:r w:rsidRPr="00AA339C">
        <w:rPr>
          <w:rFonts w:cs="Times New Roman"/>
          <w:lang w:val="es-PE"/>
        </w:rPr>
        <w:t xml:space="preserve"> biomédicos (Lee et al., 2020; </w:t>
      </w:r>
      <w:proofErr w:type="spellStart"/>
      <w:r w:rsidRPr="00AA339C">
        <w:rPr>
          <w:rFonts w:cs="Times New Roman"/>
          <w:lang w:val="es-PE"/>
        </w:rPr>
        <w:t>Alsentzer</w:t>
      </w:r>
      <w:proofErr w:type="spellEnd"/>
      <w:r w:rsidRPr="00AA339C">
        <w:rPr>
          <w:rFonts w:cs="Times New Roman"/>
          <w:lang w:val="es-PE"/>
        </w:rPr>
        <w:t xml:space="preserve"> et al., 2019) y técnicas de negación clínica como </w:t>
      </w:r>
      <w:proofErr w:type="spellStart"/>
      <w:r w:rsidRPr="00AA339C">
        <w:rPr>
          <w:rFonts w:cs="Times New Roman"/>
          <w:lang w:val="es-PE"/>
        </w:rPr>
        <w:t>NegEx</w:t>
      </w:r>
      <w:proofErr w:type="spellEnd"/>
      <w:r w:rsidRPr="00AA339C">
        <w:rPr>
          <w:rFonts w:cs="Times New Roman"/>
          <w:lang w:val="es-PE"/>
        </w:rPr>
        <w:t xml:space="preserve"> (Chapman et al., 2001). Sin embargo, ningún trabajo previo ha articulado estos enfoques con la Matriz de Priorización del Modelo GEMSES ni con la taxonomía de 231 eventos del Anexo 02 de la Directiva GG-ESSALUD-2021. Esta investigación cierra esa brecha teórica, aportando un marco de operacionalización que vincula las dimensiones de Tiempo, Calidad, Costos y Satisfacción del Modelo GEMSES con variables derivables de datos clínicos estructurados y no estructurados. Los pesos de impacto por dimensión ya están </w:t>
      </w:r>
      <w:proofErr w:type="spellStart"/>
      <w:r w:rsidRPr="00AA339C">
        <w:rPr>
          <w:rFonts w:cs="Times New Roman"/>
          <w:lang w:val="es-PE"/>
        </w:rPr>
        <w:t>precalculados</w:t>
      </w:r>
      <w:proofErr w:type="spellEnd"/>
      <w:r w:rsidRPr="00AA339C">
        <w:rPr>
          <w:rFonts w:cs="Times New Roman"/>
          <w:lang w:val="es-PE"/>
        </w:rPr>
        <w:t xml:space="preserve"> en el Anexo 02 para cada uno de los 231 eventos; esta investigación los operacionaliza computacionalmente.</w:t>
      </w:r>
    </w:p>
    <w:p w14:paraId="4DCD94C5" w14:textId="77777777" w:rsidR="00F67EF2" w:rsidRPr="00AA339C" w:rsidRDefault="00000000">
      <w:pPr>
        <w:spacing w:line="432" w:lineRule="exact"/>
        <w:ind w:firstLine="709"/>
        <w:jc w:val="both"/>
        <w:rPr>
          <w:lang w:val="es-PE"/>
        </w:rPr>
      </w:pPr>
      <w:r w:rsidRPr="00AA339C">
        <w:rPr>
          <w:rFonts w:cs="Times New Roman"/>
          <w:lang w:val="es-PE"/>
        </w:rPr>
        <w:t>Adicionalmente, el estudio contribuye al debate metodológico sobre la transferibilidad de modelos de NLP entrenados en inglés clínico hacia sistemas sanitarios de habla hispana, problema de creciente relevancia en la literatura de informática biomédica internacional.</w:t>
      </w:r>
    </w:p>
    <w:p w14:paraId="62D133E3" w14:textId="77777777" w:rsidR="00F67EF2" w:rsidRPr="00AA339C" w:rsidRDefault="00000000">
      <w:pPr>
        <w:spacing w:before="160" w:after="120" w:line="432" w:lineRule="exact"/>
        <w:jc w:val="both"/>
        <w:rPr>
          <w:lang w:val="es-PE"/>
        </w:rPr>
      </w:pPr>
      <w:r w:rsidRPr="00AA339C">
        <w:rPr>
          <w:rFonts w:cs="Times New Roman"/>
          <w:b/>
          <w:lang w:val="es-PE"/>
        </w:rPr>
        <w:t>1.3.2 Justificación Práctica</w:t>
      </w:r>
    </w:p>
    <w:p w14:paraId="0EC08201" w14:textId="77777777" w:rsidR="00F67EF2" w:rsidRPr="00AA339C" w:rsidRDefault="00000000">
      <w:pPr>
        <w:spacing w:line="432" w:lineRule="exact"/>
        <w:ind w:firstLine="709"/>
        <w:jc w:val="both"/>
        <w:rPr>
          <w:lang w:val="es-PE"/>
        </w:rPr>
      </w:pPr>
      <w:r w:rsidRPr="00AA339C">
        <w:rPr>
          <w:rFonts w:cs="Times New Roman"/>
          <w:lang w:val="es-PE"/>
        </w:rPr>
        <w:t xml:space="preserve">Desde una perspectiva práctica, el sistema propuesto responde a una necesidad institucional concreta: el cuello de botella operativo que genera el procesamiento manual de notificaciones de eventos adversos en EsSalud. El pipeline automatizado permitiría procesar el volumen completo de notas clínicas de alta (331,793 notas en MIMIC-IV; equivalente a </w:t>
      </w:r>
      <w:r w:rsidRPr="00AA339C">
        <w:rPr>
          <w:rFonts w:cs="Times New Roman"/>
          <w:lang w:val="es-PE"/>
        </w:rPr>
        <w:lastRenderedPageBreak/>
        <w:t>decenas de miles en EsSalud) sin incremento proporcional de recursos humanos especializados, reduciendo el tiempo entre la ocurrencia del evento y su priorización para la gestión correctiva.</w:t>
      </w:r>
    </w:p>
    <w:p w14:paraId="0A48217B" w14:textId="77777777" w:rsidR="00F67EF2" w:rsidRPr="00AA339C" w:rsidRDefault="00000000">
      <w:pPr>
        <w:spacing w:line="432" w:lineRule="exact"/>
        <w:ind w:firstLine="709"/>
        <w:jc w:val="both"/>
        <w:rPr>
          <w:lang w:val="es-PE"/>
        </w:rPr>
      </w:pPr>
      <w:r w:rsidRPr="00AA339C">
        <w:rPr>
          <w:rFonts w:cs="Times New Roman"/>
          <w:lang w:val="es-PE"/>
        </w:rPr>
        <w:t xml:space="preserve">El modelo validado sobre MIMIC-IV generará un protocolo de implementación documentado y replicable, que podrá ser adaptado por la Oficina de Gestión de la Calidad y Humanización de EsSalud —o cualquier institución que opere bajo estándares GEMSES— cuando se habilite el acceso a datos clínicos institucionales para investigación. El impacto práctico esperado incluye: reducción de la </w:t>
      </w:r>
      <w:proofErr w:type="spellStart"/>
      <w:r w:rsidRPr="00AA339C">
        <w:rPr>
          <w:rFonts w:cs="Times New Roman"/>
          <w:lang w:val="es-PE"/>
        </w:rPr>
        <w:t>subnotificación</w:t>
      </w:r>
      <w:proofErr w:type="spellEnd"/>
      <w:r w:rsidRPr="00AA339C">
        <w:rPr>
          <w:rFonts w:cs="Times New Roman"/>
          <w:lang w:val="es-PE"/>
        </w:rPr>
        <w:t>, mayor consistencia en la codificación, y escalamiento de la capacidad de vigilancia de la seguridad del paciente.</w:t>
      </w:r>
    </w:p>
    <w:p w14:paraId="0C39193E" w14:textId="77777777" w:rsidR="00F67EF2" w:rsidRPr="00AA339C" w:rsidRDefault="00000000">
      <w:pPr>
        <w:spacing w:before="160" w:after="120" w:line="432" w:lineRule="exact"/>
        <w:jc w:val="both"/>
        <w:rPr>
          <w:lang w:val="es-PE"/>
        </w:rPr>
      </w:pPr>
      <w:r w:rsidRPr="00AA339C">
        <w:rPr>
          <w:rFonts w:cs="Times New Roman"/>
          <w:b/>
          <w:lang w:val="es-PE"/>
        </w:rPr>
        <w:t>1.3.3 Justificación Metodológica</w:t>
      </w:r>
    </w:p>
    <w:p w14:paraId="058A23C9" w14:textId="77777777" w:rsidR="00F67EF2" w:rsidRPr="00AA339C" w:rsidRDefault="00000000">
      <w:pPr>
        <w:spacing w:line="432" w:lineRule="exact"/>
        <w:ind w:firstLine="709"/>
        <w:jc w:val="both"/>
        <w:rPr>
          <w:lang w:val="es-PE"/>
        </w:rPr>
      </w:pPr>
      <w:r w:rsidRPr="00AA339C">
        <w:rPr>
          <w:rFonts w:cs="Times New Roman"/>
          <w:lang w:val="es-PE"/>
        </w:rPr>
        <w:t xml:space="preserve">El uso de MIMIC-IV como corpus de validación garantiza la reproducibilidad del estudio: es un </w:t>
      </w:r>
      <w:proofErr w:type="spellStart"/>
      <w:r w:rsidRPr="00AA339C">
        <w:rPr>
          <w:rFonts w:cs="Times New Roman"/>
          <w:lang w:val="es-PE"/>
        </w:rPr>
        <w:t>dataset</w:t>
      </w:r>
      <w:proofErr w:type="spellEnd"/>
      <w:r w:rsidRPr="00AA339C">
        <w:rPr>
          <w:rFonts w:cs="Times New Roman"/>
          <w:lang w:val="es-PE"/>
        </w:rPr>
        <w:t xml:space="preserve"> de acceso controlado pero abierto (</w:t>
      </w:r>
      <w:proofErr w:type="spellStart"/>
      <w:r w:rsidRPr="00AA339C">
        <w:rPr>
          <w:rFonts w:cs="Times New Roman"/>
          <w:lang w:val="es-PE"/>
        </w:rPr>
        <w:t>PhysioNet</w:t>
      </w:r>
      <w:proofErr w:type="spellEnd"/>
      <w:r w:rsidRPr="00AA339C">
        <w:rPr>
          <w:rFonts w:cs="Times New Roman"/>
          <w:lang w:val="es-PE"/>
        </w:rPr>
        <w:t xml:space="preserve"> </w:t>
      </w:r>
      <w:proofErr w:type="spellStart"/>
      <w:r w:rsidRPr="00AA339C">
        <w:rPr>
          <w:rFonts w:cs="Times New Roman"/>
          <w:lang w:val="es-PE"/>
        </w:rPr>
        <w:t>credentialing</w:t>
      </w:r>
      <w:proofErr w:type="spellEnd"/>
      <w:r w:rsidRPr="00AA339C">
        <w:rPr>
          <w:rFonts w:cs="Times New Roman"/>
          <w:lang w:val="es-PE"/>
        </w:rPr>
        <w:t xml:space="preserve">), con 145,914 pacientes únicos, en formato estándar internacional, y ampliamente utilizado como </w:t>
      </w:r>
      <w:proofErr w:type="spellStart"/>
      <w:r w:rsidRPr="00AA339C">
        <w:rPr>
          <w:rFonts w:cs="Times New Roman"/>
          <w:lang w:val="es-PE"/>
        </w:rPr>
        <w:t>benchmark</w:t>
      </w:r>
      <w:proofErr w:type="spellEnd"/>
      <w:r w:rsidRPr="00AA339C">
        <w:rPr>
          <w:rFonts w:cs="Times New Roman"/>
          <w:lang w:val="es-PE"/>
        </w:rPr>
        <w:t xml:space="preserve"> en investigación de NLP clínico. La elección de este </w:t>
      </w:r>
      <w:proofErr w:type="spellStart"/>
      <w:r w:rsidRPr="00AA339C">
        <w:rPr>
          <w:rFonts w:cs="Times New Roman"/>
          <w:lang w:val="es-PE"/>
        </w:rPr>
        <w:t>dataset</w:t>
      </w:r>
      <w:proofErr w:type="spellEnd"/>
      <w:r w:rsidRPr="00AA339C">
        <w:rPr>
          <w:rFonts w:cs="Times New Roman"/>
          <w:lang w:val="es-PE"/>
        </w:rPr>
        <w:t xml:space="preserve"> —en lugar de datos institucionales peruanos no accesibles— no es una limitación sino una decisión metodológica deliberada que garantiza la trazabilidad, la posibilidad de revisión por pares y la comparabilidad con el estado del arte internacional.</w:t>
      </w:r>
    </w:p>
    <w:p w14:paraId="1F8B9BB5" w14:textId="77777777" w:rsidR="00F67EF2" w:rsidRPr="00AA339C" w:rsidRDefault="00000000">
      <w:pPr>
        <w:spacing w:line="432" w:lineRule="exact"/>
        <w:ind w:firstLine="709"/>
        <w:jc w:val="both"/>
        <w:rPr>
          <w:lang w:val="es-PE"/>
        </w:rPr>
      </w:pPr>
      <w:r w:rsidRPr="00AA339C">
        <w:rPr>
          <w:rFonts w:cs="Times New Roman"/>
          <w:lang w:val="es-PE"/>
        </w:rPr>
        <w:t xml:space="preserve">El diseño del pipeline combina supervisión débil para etiquetado a escala, detección de negación con </w:t>
      </w:r>
      <w:proofErr w:type="spellStart"/>
      <w:r w:rsidRPr="00AA339C">
        <w:rPr>
          <w:rFonts w:cs="Times New Roman"/>
          <w:lang w:val="es-PE"/>
        </w:rPr>
        <w:t>NegEx</w:t>
      </w:r>
      <w:proofErr w:type="spellEnd"/>
      <w:r w:rsidRPr="00AA339C">
        <w:rPr>
          <w:rFonts w:cs="Times New Roman"/>
          <w:lang w:val="es-PE"/>
        </w:rPr>
        <w:t xml:space="preserve">, mapeo a códigos ICD-10, y comparación de múltiples clasificadores (TF-IDF + regresión logística, </w:t>
      </w:r>
      <w:proofErr w:type="spellStart"/>
      <w:r w:rsidRPr="00AA339C">
        <w:rPr>
          <w:rFonts w:cs="Times New Roman"/>
          <w:lang w:val="es-PE"/>
        </w:rPr>
        <w:t>LinearSVC</w:t>
      </w:r>
      <w:proofErr w:type="spellEnd"/>
      <w:r w:rsidRPr="00AA339C">
        <w:rPr>
          <w:rFonts w:cs="Times New Roman"/>
          <w:lang w:val="es-PE"/>
        </w:rPr>
        <w:t xml:space="preserve">, modelos basados en </w:t>
      </w:r>
      <w:proofErr w:type="spellStart"/>
      <w:r w:rsidRPr="00AA339C">
        <w:rPr>
          <w:rFonts w:cs="Times New Roman"/>
          <w:lang w:val="es-PE"/>
        </w:rPr>
        <w:t>transformers</w:t>
      </w:r>
      <w:proofErr w:type="spellEnd"/>
      <w:r w:rsidRPr="00AA339C">
        <w:rPr>
          <w:rFonts w:cs="Times New Roman"/>
          <w:lang w:val="es-PE"/>
        </w:rPr>
        <w:t>). La validación mediante panel experto (n = 70 notas) con métricas de concordancia (kappa de Cohen) proporciona evidencia estadística rigurosa sobre la capacidad del sistema, con un IC95% Wilson calculado correctamente para muestras pequeñas.</w:t>
      </w:r>
    </w:p>
    <w:p w14:paraId="49E11F62" w14:textId="77777777" w:rsidR="00F67EF2" w:rsidRPr="00AA339C" w:rsidRDefault="00000000">
      <w:pPr>
        <w:spacing w:before="160" w:after="120" w:line="432" w:lineRule="exact"/>
        <w:jc w:val="both"/>
        <w:rPr>
          <w:lang w:val="es-PE"/>
        </w:rPr>
      </w:pPr>
      <w:r w:rsidRPr="00AA339C">
        <w:rPr>
          <w:rFonts w:cs="Times New Roman"/>
          <w:b/>
          <w:lang w:val="es-PE"/>
        </w:rPr>
        <w:t>1.3.4 Justificación Social</w:t>
      </w:r>
    </w:p>
    <w:p w14:paraId="5C7DC805" w14:textId="425E844F" w:rsidR="00F67EF2" w:rsidRPr="00AA339C" w:rsidRDefault="00000000">
      <w:pPr>
        <w:spacing w:line="432" w:lineRule="exact"/>
        <w:ind w:firstLine="709"/>
        <w:jc w:val="both"/>
        <w:rPr>
          <w:lang w:val="es-PE"/>
        </w:rPr>
      </w:pPr>
      <w:r w:rsidRPr="00AA339C">
        <w:rPr>
          <w:rFonts w:cs="Times New Roman"/>
          <w:lang w:val="es-PE"/>
        </w:rPr>
        <w:t xml:space="preserve">La OMS estima </w:t>
      </w:r>
      <w:proofErr w:type="gramStart"/>
      <w:r w:rsidRPr="00AA339C">
        <w:rPr>
          <w:rFonts w:cs="Times New Roman"/>
          <w:lang w:val="es-PE"/>
        </w:rPr>
        <w:t>que</w:t>
      </w:r>
      <w:proofErr w:type="gramEnd"/>
      <w:r w:rsidRPr="00AA339C">
        <w:rPr>
          <w:rFonts w:cs="Times New Roman"/>
          <w:lang w:val="es-PE"/>
        </w:rPr>
        <w:t xml:space="preserve"> en países de ingresos medios y bajos, la carga de eventos adversos evitables equivale a 134 millones de episodios anuales con 2.6 millones de muertes asociadas (OMS, 2019). Perú, como país de ingreso medio-alto con un sistema de seguridad social en </w:t>
      </w:r>
      <w:r w:rsidRPr="00AA339C">
        <w:rPr>
          <w:rFonts w:cs="Times New Roman"/>
          <w:lang w:val="es-PE"/>
        </w:rPr>
        <w:lastRenderedPageBreak/>
        <w:t>expansión, enfrenta este problema de manera aguda: la red asistencial de EsSalud atiende a más de 13 millones de asegurados con capacidad limitada de vigilancia activa de seguridad</w:t>
      </w:r>
      <w:r w:rsidR="00AA339C">
        <w:rPr>
          <w:rFonts w:cs="Times New Roman"/>
          <w:lang w:val="es-PE"/>
        </w:rPr>
        <w:t xml:space="preserve">, que es detectada cuando el paciente denuncia y SUSALUD a multado por eventos de seguridad del paciente evitables por un valor </w:t>
      </w:r>
      <w:proofErr w:type="gramStart"/>
      <w:r w:rsidR="00AA339C">
        <w:rPr>
          <w:rFonts w:cs="Times New Roman"/>
          <w:lang w:val="es-PE"/>
        </w:rPr>
        <w:t xml:space="preserve">de </w:t>
      </w:r>
      <w:r w:rsidR="00AA339C" w:rsidRPr="00AA339C">
        <w:rPr>
          <w:rFonts w:cs="Times New Roman"/>
          <w:lang w:val="es-PE"/>
        </w:rPr>
        <w:t xml:space="preserve"> S</w:t>
      </w:r>
      <w:proofErr w:type="gramEnd"/>
      <w:r w:rsidR="00AA339C" w:rsidRPr="00AA339C">
        <w:rPr>
          <w:rFonts w:cs="Times New Roman"/>
          <w:lang w:val="es-PE"/>
        </w:rPr>
        <w:t>/ 8,482,906.50</w:t>
      </w:r>
      <w:r w:rsidR="00AA339C">
        <w:rPr>
          <w:rFonts w:cs="Times New Roman"/>
          <w:lang w:val="es-PE"/>
        </w:rPr>
        <w:t xml:space="preserve"> en el año 2025. </w:t>
      </w:r>
    </w:p>
    <w:p w14:paraId="606F445A" w14:textId="52B47F20" w:rsidR="00F67EF2" w:rsidRPr="00AA339C" w:rsidRDefault="00000000">
      <w:pPr>
        <w:spacing w:line="432" w:lineRule="exact"/>
        <w:ind w:firstLine="709"/>
        <w:jc w:val="both"/>
        <w:rPr>
          <w:lang w:val="es-PE"/>
        </w:rPr>
      </w:pPr>
      <w:r w:rsidRPr="00AA339C">
        <w:rPr>
          <w:rFonts w:cs="Times New Roman"/>
          <w:lang w:val="es-PE"/>
        </w:rPr>
        <w:t>Un sistema automatizado de detección y priorización contribuye directamente a la protección de pacientes vulnerables, a la rendición de cuentas institucional y al aprendizaje organizacional. La generación de alertas tempranas sobre eventos de nivel Rojo (alta prioridad GEMSES) permitiría activar protocolos de mitigación antes de que el daño escale, con un impacto social concreto y medible en términos de morbimortalidad prevenibl</w:t>
      </w:r>
      <w:r w:rsidR="00AA339C">
        <w:rPr>
          <w:rFonts w:cs="Times New Roman"/>
          <w:lang w:val="es-PE"/>
        </w:rPr>
        <w:t xml:space="preserve">e y sostenibilidad financiera. </w:t>
      </w:r>
    </w:p>
    <w:p w14:paraId="279E170D" w14:textId="77777777" w:rsidR="00F67EF2" w:rsidRPr="00AA339C" w:rsidRDefault="00000000">
      <w:pPr>
        <w:rPr>
          <w:lang w:val="es-PE"/>
        </w:rPr>
      </w:pPr>
      <w:r w:rsidRPr="00AA339C">
        <w:rPr>
          <w:lang w:val="es-PE"/>
        </w:rPr>
        <w:br w:type="page"/>
      </w:r>
    </w:p>
    <w:p w14:paraId="76E705D7" w14:textId="77777777" w:rsidR="00F67EF2" w:rsidRPr="00AA339C" w:rsidRDefault="00000000">
      <w:pPr>
        <w:spacing w:before="360" w:after="240" w:line="432" w:lineRule="exact"/>
        <w:jc w:val="center"/>
        <w:rPr>
          <w:lang w:val="es-PE"/>
        </w:rPr>
      </w:pPr>
      <w:r w:rsidRPr="00AA339C">
        <w:rPr>
          <w:rFonts w:cs="Times New Roman"/>
          <w:b/>
          <w:sz w:val="26"/>
          <w:lang w:val="es-PE"/>
        </w:rPr>
        <w:lastRenderedPageBreak/>
        <w:t>CAPÍTULO II: OBJETIVOS</w:t>
      </w:r>
    </w:p>
    <w:p w14:paraId="17D80B2F" w14:textId="77777777" w:rsidR="00F67EF2" w:rsidRPr="00AA339C" w:rsidRDefault="00000000">
      <w:pPr>
        <w:spacing w:before="280" w:after="160" w:line="432" w:lineRule="exact"/>
        <w:jc w:val="both"/>
        <w:rPr>
          <w:lang w:val="es-PE"/>
        </w:rPr>
      </w:pPr>
      <w:r w:rsidRPr="00AA339C">
        <w:rPr>
          <w:rFonts w:cs="Times New Roman"/>
          <w:b/>
          <w:lang w:val="es-PE"/>
        </w:rPr>
        <w:t>2.1 Objetivo General</w:t>
      </w:r>
    </w:p>
    <w:p w14:paraId="5631CA23" w14:textId="77777777" w:rsidR="00F67EF2" w:rsidRPr="00AA339C" w:rsidRDefault="00000000">
      <w:pPr>
        <w:spacing w:line="432" w:lineRule="exact"/>
        <w:ind w:firstLine="709"/>
        <w:jc w:val="both"/>
        <w:rPr>
          <w:lang w:val="es-PE"/>
        </w:rPr>
      </w:pPr>
      <w:r w:rsidRPr="00AA339C">
        <w:rPr>
          <w:rFonts w:cs="Times New Roman"/>
          <w:lang w:val="es-PE"/>
        </w:rPr>
        <w:t xml:space="preserve">Diseñar, implementar y validar un sistema basado en procesamiento de lenguaje natural y aprendizaje automático que detecte eventos adversos a partir de notas clínicas no estructuradas del </w:t>
      </w:r>
      <w:proofErr w:type="spellStart"/>
      <w:r w:rsidRPr="00AA339C">
        <w:rPr>
          <w:rFonts w:cs="Times New Roman"/>
          <w:lang w:val="es-PE"/>
        </w:rPr>
        <w:t>dataset</w:t>
      </w:r>
      <w:proofErr w:type="spellEnd"/>
      <w:r w:rsidRPr="00AA339C">
        <w:rPr>
          <w:rFonts w:cs="Times New Roman"/>
          <w:lang w:val="es-PE"/>
        </w:rPr>
        <w:t xml:space="preserve"> MIMIC-IV y los priorice automáticamente aplicando la Matriz de Priorización del Modelo GEMSES —incluyendo el cálculo automatizado del Nivel de Gestión y la asignación del responsable institucional— con miras a su transferencia metodológica a sistemas sanitarios de habla hispana y, en particular, a la red asistencial de EsSalud.</w:t>
      </w:r>
    </w:p>
    <w:p w14:paraId="4F24862B" w14:textId="77777777" w:rsidR="00F67EF2" w:rsidRPr="00AA339C" w:rsidRDefault="00000000">
      <w:pPr>
        <w:spacing w:before="280" w:after="160" w:line="432" w:lineRule="exact"/>
        <w:jc w:val="both"/>
        <w:rPr>
          <w:lang w:val="es-PE"/>
        </w:rPr>
      </w:pPr>
      <w:r w:rsidRPr="00AA339C">
        <w:rPr>
          <w:rFonts w:cs="Times New Roman"/>
          <w:b/>
          <w:lang w:val="es-PE"/>
        </w:rPr>
        <w:t>2.2 Objetivos Específicos</w:t>
      </w:r>
    </w:p>
    <w:p w14:paraId="473BF736" w14:textId="77777777" w:rsidR="00F67EF2" w:rsidRPr="00AA339C" w:rsidRDefault="00000000">
      <w:pPr>
        <w:spacing w:line="432" w:lineRule="exact"/>
        <w:ind w:firstLine="709"/>
        <w:jc w:val="both"/>
        <w:rPr>
          <w:lang w:val="es-PE"/>
        </w:rPr>
      </w:pPr>
      <w:r w:rsidRPr="00AA339C">
        <w:rPr>
          <w:rFonts w:cs="Times New Roman"/>
          <w:lang w:val="es-PE"/>
        </w:rPr>
        <w:t>Para alcanzar el objetivo general se plantean los siguientes objetivos específicos:</w:t>
      </w:r>
    </w:p>
    <w:p w14:paraId="6287B96B" w14:textId="77777777" w:rsidR="00F67EF2" w:rsidRPr="00AA339C" w:rsidRDefault="00000000">
      <w:pPr>
        <w:spacing w:before="80" w:after="120" w:line="432" w:lineRule="exact"/>
        <w:ind w:firstLine="709"/>
        <w:jc w:val="both"/>
        <w:rPr>
          <w:lang w:val="es-PE"/>
        </w:rPr>
      </w:pPr>
      <w:r w:rsidRPr="00AA339C">
        <w:rPr>
          <w:rFonts w:cs="Times New Roman"/>
          <w:b/>
          <w:lang w:val="es-PE"/>
        </w:rPr>
        <w:t xml:space="preserve">OE1 — </w:t>
      </w:r>
      <w:r w:rsidRPr="00AA339C">
        <w:rPr>
          <w:rFonts w:cs="Times New Roman"/>
          <w:lang w:val="es-PE"/>
        </w:rPr>
        <w:t>Construir un corpus etiquetado de eventos adversos a partir de notas clínicas no estructuradas de MIMIC-IV, utilizando como marco de etiquetado los 188 eventos detectables (de los 231 del Anexo 02 de la Directiva GG-ESSALUD-2021), clasificados por cuatro niveles de detección: (A) ICD-10 + NLP, (B) patrones de texto libre, (C) variables estructuradas calculadas y (D) auditoría de completitud de historia clínica.</w:t>
      </w:r>
    </w:p>
    <w:p w14:paraId="0BE11FCE" w14:textId="77777777" w:rsidR="00F67EF2" w:rsidRPr="00AA339C" w:rsidRDefault="00000000">
      <w:pPr>
        <w:spacing w:before="80" w:after="120" w:line="432" w:lineRule="exact"/>
        <w:ind w:firstLine="709"/>
        <w:jc w:val="both"/>
        <w:rPr>
          <w:lang w:val="es-PE"/>
        </w:rPr>
      </w:pPr>
      <w:r w:rsidRPr="00AA339C">
        <w:rPr>
          <w:rFonts w:cs="Times New Roman"/>
          <w:b/>
          <w:lang w:val="es-PE"/>
        </w:rPr>
        <w:t xml:space="preserve">OE2 — </w:t>
      </w:r>
      <w:r w:rsidRPr="00AA339C">
        <w:rPr>
          <w:rFonts w:cs="Times New Roman"/>
          <w:lang w:val="es-PE"/>
        </w:rPr>
        <w:t xml:space="preserve">Implementar y comparar al menos tres modelos de procesamiento de lenguaje natural para la detección y clasificación de eventos adversos en texto libre, incluyendo modelos basados en </w:t>
      </w:r>
      <w:proofErr w:type="spellStart"/>
      <w:r w:rsidRPr="00AA339C">
        <w:rPr>
          <w:rFonts w:cs="Times New Roman"/>
          <w:lang w:val="es-PE"/>
        </w:rPr>
        <w:t>transformers</w:t>
      </w:r>
      <w:proofErr w:type="spellEnd"/>
      <w:r w:rsidRPr="00AA339C">
        <w:rPr>
          <w:rFonts w:cs="Times New Roman"/>
          <w:lang w:val="es-PE"/>
        </w:rPr>
        <w:t xml:space="preserve"> biomédicos (</w:t>
      </w:r>
      <w:proofErr w:type="spellStart"/>
      <w:r w:rsidRPr="00AA339C">
        <w:rPr>
          <w:rFonts w:cs="Times New Roman"/>
          <w:lang w:val="es-PE"/>
        </w:rPr>
        <w:t>BioBERT</w:t>
      </w:r>
      <w:proofErr w:type="spellEnd"/>
      <w:r w:rsidRPr="00AA339C">
        <w:rPr>
          <w:rFonts w:cs="Times New Roman"/>
          <w:lang w:val="es-PE"/>
        </w:rPr>
        <w:t xml:space="preserve">, </w:t>
      </w:r>
      <w:proofErr w:type="spellStart"/>
      <w:r w:rsidRPr="00AA339C">
        <w:rPr>
          <w:rFonts w:cs="Times New Roman"/>
          <w:lang w:val="es-PE"/>
        </w:rPr>
        <w:t>ClinicalBERT</w:t>
      </w:r>
      <w:proofErr w:type="spellEnd"/>
      <w:r w:rsidRPr="00AA339C">
        <w:rPr>
          <w:rFonts w:cs="Times New Roman"/>
          <w:lang w:val="es-PE"/>
        </w:rPr>
        <w:t>) y un modelo base clásico de referencia (TF-IDF + regresión logística).</w:t>
      </w:r>
    </w:p>
    <w:p w14:paraId="568DE4D2" w14:textId="77777777" w:rsidR="00F67EF2" w:rsidRPr="00AA339C" w:rsidRDefault="00000000">
      <w:pPr>
        <w:spacing w:before="80" w:after="120" w:line="432" w:lineRule="exact"/>
        <w:ind w:firstLine="709"/>
        <w:jc w:val="both"/>
        <w:rPr>
          <w:lang w:val="es-PE"/>
        </w:rPr>
      </w:pPr>
      <w:r w:rsidRPr="00AA339C">
        <w:rPr>
          <w:rFonts w:cs="Times New Roman"/>
          <w:b/>
          <w:lang w:val="es-PE"/>
        </w:rPr>
        <w:t xml:space="preserve">OE3 — </w:t>
      </w:r>
      <w:r w:rsidRPr="00AA339C">
        <w:rPr>
          <w:rFonts w:cs="Times New Roman"/>
          <w:lang w:val="es-PE"/>
        </w:rPr>
        <w:t>Automatizar la priorización GEMSES aplicando, para cada evento detectado, la fórmula Nivel de Riesgo = Frecuencia × Impacto usando los pesos de impacto ya establecidos en el Anexo 02 para cada uno de los 231 eventos (dimensiones: Estancia Hospitalaria, Complicaciones, Costos, Satisfacción del Paciente e Impacto Ambiental), y determinar automáticamente el Nivel de Gestión (Verde / Amarillo / Rojo) y el responsable institucional correspondiente.</w:t>
      </w:r>
    </w:p>
    <w:p w14:paraId="1C9034F7" w14:textId="77777777" w:rsidR="00F67EF2" w:rsidRPr="00AA339C" w:rsidRDefault="00000000">
      <w:pPr>
        <w:spacing w:before="80" w:after="120" w:line="432" w:lineRule="exact"/>
        <w:ind w:firstLine="709"/>
        <w:jc w:val="both"/>
        <w:rPr>
          <w:lang w:val="es-PE"/>
        </w:rPr>
      </w:pPr>
      <w:r w:rsidRPr="00AA339C">
        <w:rPr>
          <w:rFonts w:cs="Times New Roman"/>
          <w:b/>
          <w:lang w:val="es-PE"/>
        </w:rPr>
        <w:lastRenderedPageBreak/>
        <w:t xml:space="preserve">OE4 — </w:t>
      </w:r>
      <w:r w:rsidRPr="00AA339C">
        <w:rPr>
          <w:rFonts w:cs="Times New Roman"/>
          <w:lang w:val="es-PE"/>
        </w:rPr>
        <w:t>Validar la precisión del pipeline comparando sus resultados contra la revisión manual de un panel de expertos sobre una muestra de 70 notas clínicas seleccionadas de forma estratificada, utilizando métricas estándar de concordancia e índices de clasificación para determinar si el sistema automatizado alcanza un nivel de acuerdo aceptable con el juicio experto.</w:t>
      </w:r>
    </w:p>
    <w:p w14:paraId="634CB80D" w14:textId="77777777" w:rsidR="00F67EF2" w:rsidRPr="00AA339C" w:rsidRDefault="00000000">
      <w:pPr>
        <w:spacing w:before="80" w:after="120" w:line="432" w:lineRule="exact"/>
        <w:ind w:firstLine="709"/>
        <w:jc w:val="both"/>
        <w:rPr>
          <w:lang w:val="es-PE"/>
        </w:rPr>
      </w:pPr>
      <w:r w:rsidRPr="00AA339C">
        <w:rPr>
          <w:rFonts w:cs="Times New Roman"/>
          <w:b/>
          <w:lang w:val="es-PE"/>
        </w:rPr>
        <w:t xml:space="preserve">OE5 — </w:t>
      </w:r>
      <w:r w:rsidRPr="00AA339C">
        <w:rPr>
          <w:rFonts w:cs="Times New Roman"/>
          <w:lang w:val="es-PE"/>
        </w:rPr>
        <w:t>Documentar el método de transferencia del pipeline a sistemas sanitarios de habla hispana, identificando los retos lingüísticos, taxonómicos y de localización que deberán abordarse para su implementación en EsSalud u otras instituciones equivalentes.</w:t>
      </w:r>
    </w:p>
    <w:p w14:paraId="113DC023" w14:textId="717DE04A" w:rsidR="00F67EF2" w:rsidRPr="00AA339C" w:rsidRDefault="00F67EF2">
      <w:pPr>
        <w:spacing w:line="432" w:lineRule="exact"/>
        <w:ind w:firstLine="709"/>
        <w:jc w:val="both"/>
        <w:rPr>
          <w:lang w:val="es-PE"/>
        </w:rPr>
      </w:pPr>
    </w:p>
    <w:sectPr w:rsidR="00F67EF2" w:rsidRPr="00AA339C" w:rsidSect="00034616">
      <w:headerReference w:type="default" r:id="rId8"/>
      <w:footerReference w:type="default" r:id="rId9"/>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BCE5D" w14:textId="77777777" w:rsidR="000557AE" w:rsidRDefault="000557AE">
      <w:pPr>
        <w:spacing w:after="0" w:line="240" w:lineRule="auto"/>
      </w:pPr>
      <w:r>
        <w:separator/>
      </w:r>
    </w:p>
  </w:endnote>
  <w:endnote w:type="continuationSeparator" w:id="0">
    <w:p w14:paraId="6E433480" w14:textId="77777777" w:rsidR="000557AE" w:rsidRDefault="00055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197BA" w14:textId="77777777" w:rsidR="00F67EF2" w:rsidRDefault="00000000">
    <w:pPr>
      <w:pStyle w:val="Piedepgina"/>
      <w:jc w:val="center"/>
    </w:pPr>
    <w:r>
      <w:rPr>
        <w:sz w:val="20"/>
      </w:rPr>
      <w:t xml:space="preserve">Página </w:t>
    </w:r>
    <w:r>
      <w:rPr>
        <w:sz w:val="20"/>
      </w:rPr>
      <w:fldChar w:fldCharType="begin"/>
    </w:r>
    <w:r>
      <w:rPr>
        <w:sz w:val="20"/>
      </w:rPr>
      <w:instrText>PAGE</w:instrText>
    </w:r>
    <w:r w:rsidR="00AA339C">
      <w:rPr>
        <w:sz w:val="20"/>
      </w:rPr>
      <w:fldChar w:fldCharType="separate"/>
    </w:r>
    <w:r w:rsidR="00AA339C">
      <w:rPr>
        <w:noProof/>
        <w:sz w:val="20"/>
      </w:rPr>
      <w:t>1</w:t>
    </w:r>
    <w:r>
      <w:rPr>
        <w:sz w:val="20"/>
      </w:rPr>
      <w:fldChar w:fldCharType="end"/>
    </w:r>
    <w:r>
      <w:rPr>
        <w:sz w:val="20"/>
      </w:rPr>
      <w:t xml:space="preserve"> de </w:t>
    </w:r>
    <w:r>
      <w:rPr>
        <w:sz w:val="20"/>
      </w:rPr>
      <w:fldChar w:fldCharType="begin"/>
    </w:r>
    <w:r>
      <w:rPr>
        <w:sz w:val="20"/>
      </w:rPr>
      <w:instrText>NUMPAGES</w:instrText>
    </w:r>
    <w:r w:rsidR="00AA339C">
      <w:rPr>
        <w:sz w:val="20"/>
      </w:rPr>
      <w:fldChar w:fldCharType="separate"/>
    </w:r>
    <w:r w:rsidR="00AA339C">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B0C88" w14:textId="77777777" w:rsidR="000557AE" w:rsidRDefault="000557AE">
      <w:pPr>
        <w:spacing w:after="0" w:line="240" w:lineRule="auto"/>
      </w:pPr>
      <w:r>
        <w:separator/>
      </w:r>
    </w:p>
  </w:footnote>
  <w:footnote w:type="continuationSeparator" w:id="0">
    <w:p w14:paraId="411AFEBA" w14:textId="77777777" w:rsidR="000557AE" w:rsidRDefault="000557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6AF24" w14:textId="77777777" w:rsidR="00F67EF2" w:rsidRPr="00AA339C" w:rsidRDefault="00000000">
    <w:pPr>
      <w:pStyle w:val="Encabezado"/>
      <w:jc w:val="right"/>
      <w:rPr>
        <w:lang w:val="es-PE"/>
      </w:rPr>
    </w:pPr>
    <w:r w:rsidRPr="00AA339C">
      <w:rPr>
        <w:color w:val="444444"/>
        <w:sz w:val="20"/>
        <w:lang w:val="es-PE"/>
      </w:rPr>
      <w:t>MIA-303 – Trabajo de Investigación I | Carlos Pérez Pérez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58162690">
    <w:abstractNumId w:val="8"/>
  </w:num>
  <w:num w:numId="2" w16cid:durableId="668562542">
    <w:abstractNumId w:val="6"/>
  </w:num>
  <w:num w:numId="3" w16cid:durableId="1422987618">
    <w:abstractNumId w:val="5"/>
  </w:num>
  <w:num w:numId="4" w16cid:durableId="1336034804">
    <w:abstractNumId w:val="4"/>
  </w:num>
  <w:num w:numId="5" w16cid:durableId="1388187513">
    <w:abstractNumId w:val="7"/>
  </w:num>
  <w:num w:numId="6" w16cid:durableId="1089539310">
    <w:abstractNumId w:val="3"/>
  </w:num>
  <w:num w:numId="7" w16cid:durableId="1702897303">
    <w:abstractNumId w:val="2"/>
  </w:num>
  <w:num w:numId="8" w16cid:durableId="460729330">
    <w:abstractNumId w:val="1"/>
  </w:num>
  <w:num w:numId="9" w16cid:durableId="782849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7AE"/>
    <w:rsid w:val="0006063C"/>
    <w:rsid w:val="0015074B"/>
    <w:rsid w:val="0029639D"/>
    <w:rsid w:val="00326F90"/>
    <w:rsid w:val="009A1070"/>
    <w:rsid w:val="00AA1D8D"/>
    <w:rsid w:val="00AA339C"/>
    <w:rsid w:val="00B47730"/>
    <w:rsid w:val="00CB0664"/>
    <w:rsid w:val="00F67E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70C9FC"/>
  <w14:defaultImageDpi w14:val="300"/>
  <w15:docId w15:val="{20395020-6CF3-4A02-A11D-A55E4AE1C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1935</Words>
  <Characters>10646</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CIIDEG PERÚ</cp:lastModifiedBy>
  <cp:revision>2</cp:revision>
  <dcterms:created xsi:type="dcterms:W3CDTF">2013-12-23T23:15:00Z</dcterms:created>
  <dcterms:modified xsi:type="dcterms:W3CDTF">2026-05-27T20:14:00Z</dcterms:modified>
  <cp:category/>
</cp:coreProperties>
</file>