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b/>
          <w:bCs/>
          <w:color w:val="1F3864"/>
          <w:sz w:val="32"/>
          <w:szCs w:val="32"/>
        </w:rPr>
        <w:t xml:space="preserve">EJECUCIÓN DE WORKFLOW ACADÉMICO</w:t>
      </w:r>
    </w:p>
    <w:p>
      <w:pPr>
        <w:spacing w:after="100"/>
        <w:jc w:val="center"/>
      </w:pPr>
      <w:r>
        <w:rPr>
          <w:b/>
          <w:bCs/>
          <w:color w:val="2E74B5"/>
          <w:sz w:val="26"/>
          <w:szCs w:val="26"/>
        </w:rPr>
        <w:t xml:space="preserve">Lit-Review + Devil's Advocate + Preregistro</w:t>
      </w:r>
    </w:p>
    <w:p>
      <w:pPr>
        <w:spacing w:after="100"/>
        <w:jc w:val="center"/>
      </w:pPr>
      <w:r>
        <w:rPr>
          <w:i/>
          <w:iCs/>
          <w:color w:val="808080"/>
          <w:sz w:val="22"/>
          <w:szCs w:val="22"/>
        </w:rPr>
        <w:t xml:space="preserve">Aplicación de la metodología del repositorio claude-code-my-workflow (P. Sant'Anna)</w:t>
      </w:r>
    </w:p>
    <w:p>
      <w:pPr>
        <w:spacing w:after="400"/>
        <w:jc w:val="center"/>
      </w:pPr>
      <w:r>
        <w:rPr>
          <w:i/>
          <w:iCs/>
          <w:color w:val="808080"/>
          <w:sz w:val="22"/>
          <w:szCs w:val="22"/>
        </w:rPr>
        <w:t xml:space="preserve">sobre la propuesta de tesis Detección de eventos adversos + GEMSES + MIMIC-IV</w:t>
      </w:r>
    </w:p>
    <w:p>
      <w:pPr>
        <w:jc w:val="center"/>
      </w:pPr>
      <w:r>
        <w:rPr>
          <w:i/>
          <w:iCs/>
          <w:color w:val="808080"/>
          <w:sz w:val="22"/>
          <w:szCs w:val="22"/>
        </w:rPr>
        <w:t xml:space="preserve">Carlos Pérez Pérez | MIA 303 | Mayo 2026</w:t>
      </w:r>
    </w:p>
    <w:p>
      <w:r>
        <w:br w:type="page"/>
      </w:r>
    </w:p>
    <w:p>
      <w:pPr>
        <w:pStyle w:val="Heading1"/>
        <w:spacing w:after="180" w:before="360"/>
      </w:pPr>
      <w:r>
        <w:rPr>
          <w:b/>
          <w:bCs/>
          <w:color w:val="1F3864"/>
          <w:sz w:val="32"/>
          <w:szCs w:val="32"/>
        </w:rPr>
        <w:t xml:space="preserve">PARTE I — Lit-Review (skill: /lit-review)</w:t>
      </w:r>
    </w:p>
    <w:p>
      <w:pPr>
        <w:spacing w:after="100" w:line="320"/>
        <w:jc w:val="both"/>
      </w:pPr>
      <w:r>
        <w:rPr>
          <w:b w:val="false"/>
          <w:bCs w:val="false"/>
          <w:i w:val="false"/>
          <w:iCs w:val="false"/>
          <w:sz w:val="22"/>
          <w:szCs w:val="22"/>
        </w:rPr>
        <w:t xml:space="preserve">Ejecuta el patrón de revisión bibliográfica del workflow: a partir de los 9 papers identificados, sintetiza convergencias, contradicciones y vacío. Va más allá de las fichas individuales. Sigue el principio del repositorio: "don't summarize papers — produce a coherent argument that situates the proposed thesis within the literature".</w:t>
      </w:r>
    </w:p>
    <w:p>
      <w:pPr>
        <w:pStyle w:val="Heading2"/>
        <w:spacing w:after="140" w:before="240"/>
      </w:pPr>
      <w:r>
        <w:rPr>
          <w:b/>
          <w:bCs/>
          <w:color w:val="2E74B5"/>
          <w:sz w:val="26"/>
          <w:szCs w:val="26"/>
        </w:rPr>
        <w:t xml:space="preserve">1.1 Síntesis narrativa</w:t>
      </w:r>
    </w:p>
    <w:p>
      <w:pPr>
        <w:spacing w:after="100" w:line="320"/>
        <w:jc w:val="both"/>
      </w:pPr>
      <w:r>
        <w:rPr>
          <w:b w:val="false"/>
          <w:bCs w:val="false"/>
          <w:i w:val="false"/>
          <w:iCs w:val="false"/>
          <w:sz w:val="22"/>
          <w:szCs w:val="22"/>
        </w:rPr>
        <w:t xml:space="preserve">La literatura reciente (2023-2025) sobre detección automatizada de eventos adversos converge en cuatro conclusiones que marcan el estado del arte y, simultáneamente, dejan abierto el espacio donde se inserta la presente tesis.</w:t>
      </w:r>
    </w:p>
    <w:p>
      <w:pPr>
        <w:pStyle w:val="Heading3"/>
        <w:spacing w:after="100" w:before="180"/>
      </w:pPr>
      <w:r>
        <w:rPr>
          <w:b/>
          <w:bCs/>
          <w:color w:val="2E74B5"/>
          <w:sz w:val="22"/>
          <w:szCs w:val="22"/>
        </w:rPr>
        <w:t xml:space="preserve">Convergencia 1 — Los transformers biomédicos son el estado del arte para extracción de eventos adversos en texto libre</w:t>
      </w:r>
    </w:p>
    <w:p>
      <w:pPr>
        <w:spacing w:after="100" w:line="320"/>
        <w:jc w:val="both"/>
      </w:pPr>
      <w:r>
        <w:rPr>
          <w:b w:val="false"/>
          <w:bCs w:val="false"/>
          <w:i w:val="false"/>
          <w:iCs w:val="false"/>
          <w:sz w:val="22"/>
          <w:szCs w:val="22"/>
        </w:rPr>
        <w:t xml:space="preserve">Modi &amp; Feldman (2024), en su revisión sistemática de 82 publicaciones, documentan que el 39 % de los estudios usan deep learning, con BERT/ClinicalBERT/BioBERT como arquitecturas dominantes. Wang, Coiera y Magrabi (2024) confirman empíricamente la superioridad de las representaciones contextuales sobre bag-of-words en clasificación de Patient Safety Event reports. Mahendran et al. (2025) ratifican, en una scoping review más reciente, que BiLSTM-CRF y transformers son los más utilizados en EHR reales. La elección de BioBERT/ClinicalBERT en el Capítulo III no requiere defensa adicional: es estándar.</w:t>
      </w:r>
    </w:p>
    <w:p>
      <w:pPr>
        <w:pStyle w:val="Heading3"/>
        <w:spacing w:after="100" w:before="180"/>
      </w:pPr>
      <w:r>
        <w:rPr>
          <w:b/>
          <w:bCs/>
          <w:color w:val="2E74B5"/>
          <w:sz w:val="22"/>
          <w:szCs w:val="22"/>
        </w:rPr>
        <w:t xml:space="preserve">Convergencia 2 — MIMIC-IV es la fuente de validación más reproducible del campo</w:t>
      </w:r>
    </w:p>
    <w:p>
      <w:pPr>
        <w:spacing w:after="100" w:line="320"/>
        <w:jc w:val="both"/>
      </w:pPr>
      <w:r>
        <w:rPr>
          <w:b w:val="false"/>
          <w:bCs w:val="false"/>
          <w:i w:val="false"/>
          <w:iCs w:val="false"/>
          <w:sz w:val="22"/>
          <w:szCs w:val="22"/>
        </w:rPr>
        <w:t xml:space="preserve">El paper original del dataset (Johnson et al., 2023, Scientific Data) lo posiciona como el estándar de facto. Hu et al. (2024), en su meta-análisis, lo identifican como dataset frecuente de validación. Van Aken et al. (2024) re-evalúan tareas de outcome prediction sobre MIMIC-IV y confirman que transformers biomédicos preentrenados superan a baselines tradicionales. La elección metodológica del Capítulo III — usar MIMIC-IV como dataset principal — está respaldada por el consenso del campo.</w:t>
      </w:r>
    </w:p>
    <w:p>
      <w:pPr>
        <w:pStyle w:val="Heading3"/>
        <w:spacing w:after="100" w:before="180"/>
      </w:pPr>
      <w:r>
        <w:rPr>
          <w:b/>
          <w:bCs/>
          <w:color w:val="2E74B5"/>
          <w:sz w:val="22"/>
          <w:szCs w:val="22"/>
        </w:rPr>
        <w:t xml:space="preserve">Convergencia 3 — La brecha entre detección y acción institucional sigue abierta</w:t>
      </w:r>
    </w:p>
    <w:p>
      <w:pPr>
        <w:spacing w:after="100" w:line="320"/>
        <w:jc w:val="both"/>
      </w:pPr>
      <w:r>
        <w:rPr>
          <w:b w:val="false"/>
          <w:bCs w:val="false"/>
          <w:i w:val="false"/>
          <w:iCs w:val="false"/>
          <w:sz w:val="22"/>
          <w:szCs w:val="22"/>
        </w:rPr>
        <w:t xml:space="preserve">Tres papers señalan, con ángulos distintos, la misma brecha. Mahendran et al. (2025) advierten que la mayoría de estudios académicos no se traducen en despliegues hospitalarios reales. Khan et al. (2025) identifican como gap principal la "alineación con marcos normativos" institucionales. Wang et al. (2024) clasifican PSE pero no proponen mecanismo de escalamiento o priorización. Esta brecha es exactamente la que el Modelo GEMSES llena, gracias a su Matriz de Priorización normada en la Directiva GG-ESSALUD-2021.</w:t>
      </w:r>
    </w:p>
    <w:p>
      <w:pPr>
        <w:pStyle w:val="Heading3"/>
        <w:spacing w:after="100" w:before="180"/>
      </w:pPr>
      <w:r>
        <w:rPr>
          <w:b/>
          <w:bCs/>
          <w:color w:val="2E74B5"/>
          <w:sz w:val="22"/>
          <w:szCs w:val="22"/>
        </w:rPr>
        <w:t xml:space="preserve">Convergencia 4 — La automatización de FMEA/RPN está madura conceptualmente pero pobre en validación</w:t>
      </w:r>
    </w:p>
    <w:p>
      <w:pPr>
        <w:spacing w:after="100" w:line="320"/>
        <w:jc w:val="both"/>
      </w:pPr>
      <w:r>
        <w:rPr>
          <w:b w:val="false"/>
          <w:bCs w:val="false"/>
          <w:i w:val="false"/>
          <w:iCs w:val="false"/>
          <w:sz w:val="22"/>
          <w:szCs w:val="22"/>
        </w:rPr>
        <w:t xml:space="preserve">Liu et al. (2023) revisan FMEA con sus variantes (Healthcare FMEA, Fuzzy FMEA, AHP-FMEA) y reportan tendencia clara hacia automatización vía IA. Kovačević et al. (2024) demuestran un Decision Support System híbrido (fuzzy + ANN + SVM) que mejora precisión y reduce tiempo en ~40 %. Khan et al. (2025) consolidan la evidencia. Sin embargo, ninguno conecta IA + FMEA-like + dataset público + modelo institucional adoptado normativamente.</w:t>
      </w:r>
    </w:p>
    <w:p>
      <w:pPr>
        <w:pStyle w:val="Heading2"/>
        <w:spacing w:after="140" w:before="240"/>
      </w:pPr>
      <w:r>
        <w:rPr>
          <w:b/>
          <w:bCs/>
          <w:color w:val="2E74B5"/>
          <w:sz w:val="26"/>
          <w:szCs w:val="26"/>
        </w:rPr>
        <w:t xml:space="preserve">1.2 Contradicciones y tensiones detectadas</w:t>
      </w:r>
    </w:p>
    <w:p>
      <w:pPr>
        <w:pBdr>
          <w:left w:val="single" w:color="1F3864" w:sz="24" w:space="8"/>
        </w:pBdr>
        <w:shd w:fill="FFF2CC" w:val="clear"/>
        <w:spacing w:after="200" w:before="200" w:line="320"/>
        <w:ind w:left="280" w:right="280"/>
        <w:jc w:val="both"/>
      </w:pPr>
      <w:r>
        <w:rPr>
          <w:b/>
          <w:bCs/>
          <w:sz w:val="22"/>
          <w:szCs w:val="22"/>
        </w:rPr>
        <w:t xml:space="preserve">Tensión 1:  </w:t>
      </w:r>
      <w:r>
        <w:rPr>
          <w:sz w:val="22"/>
          <w:szCs w:val="22"/>
        </w:rPr>
        <w:t xml:space="preserve">Modi &amp; Feldman (2024) sugieren que los LLMs (n=8) son aún minoritarios en extracción de ADE, pero van Aken et al. (2024) muestran que LLMs generales sin fine-tuning rinden por debajo de transformers especializados. Implicación para tu tesis: no caer en la tentación de usar GPT-4 sin más; mantener el camino de transformers biomédicos especializados.</w:t>
      </w:r>
    </w:p>
    <w:p>
      <w:pPr>
        <w:pBdr>
          <w:left w:val="single" w:color="1F3864" w:sz="24" w:space="8"/>
        </w:pBdr>
        <w:shd w:fill="FFF2CC" w:val="clear"/>
        <w:spacing w:after="200" w:before="200" w:line="320"/>
        <w:ind w:left="280" w:right="280"/>
        <w:jc w:val="both"/>
      </w:pPr>
      <w:r>
        <w:rPr>
          <w:b/>
          <w:bCs/>
          <w:sz w:val="22"/>
          <w:szCs w:val="22"/>
        </w:rPr>
        <w:t xml:space="preserve">Tensión 2:  </w:t>
      </w:r>
      <w:r>
        <w:rPr>
          <w:sz w:val="22"/>
          <w:szCs w:val="22"/>
        </w:rPr>
        <w:t xml:space="preserve">Hu et al. (2024) en su meta-análisis privilegian Random Forest y XGBoost (modelos tabulares clásicos), mientras Modi &amp; Feldman (2024) y Mahendran et al. (2025) privilegian deep learning sobre texto libre. La diferencia es de fuente de datos: estructurada vs no estructurada. Implicación: tu tesis trabaja sobre texto libre (no estructurado), por lo tanto tu marco metodológico se ancla en Modi/Mahendran, no en Hu.</w:t>
      </w:r>
    </w:p>
    <w:p>
      <w:pPr>
        <w:pBdr>
          <w:left w:val="single" w:color="1F3864" w:sz="24" w:space="8"/>
        </w:pBdr>
        <w:shd w:fill="FCE4D6" w:val="clear"/>
        <w:spacing w:after="200" w:before="200" w:line="320"/>
        <w:ind w:left="280" w:right="280"/>
        <w:jc w:val="both"/>
      </w:pPr>
      <w:r>
        <w:rPr>
          <w:b/>
          <w:bCs/>
          <w:sz w:val="22"/>
          <w:szCs w:val="22"/>
        </w:rPr>
        <w:t xml:space="preserve">Tensión 3:  </w:t>
      </w:r>
      <w:r>
        <w:rPr>
          <w:sz w:val="22"/>
          <w:szCs w:val="22"/>
        </w:rPr>
        <w:t xml:space="preserve">Las búsquedas indican que existe una advertencia sobre automatización de RPN: "el cálculo del Risk Priority Number debe hacerse por profesionales calificados, porque depende de detalles operativos". Implicación crítica: tu tesis no debe afirmar que reemplaza al juicio experto; debe enmarcarse como soporte a la decisión que asiste al panel experto, manteniendo al humano en el loop. Esto debe quedar explícito en el Capítulo I.</w:t>
      </w:r>
    </w:p>
    <w:p>
      <w:pPr>
        <w:pStyle w:val="Heading2"/>
        <w:spacing w:after="140" w:before="240"/>
      </w:pPr>
      <w:r>
        <w:rPr>
          <w:b/>
          <w:bCs/>
          <w:color w:val="2E74B5"/>
          <w:sz w:val="26"/>
          <w:szCs w:val="26"/>
        </w:rPr>
        <w:t xml:space="preserve">1.3 Vacío crítico que llena la presente tesis</w:t>
      </w:r>
    </w:p>
    <w:p>
      <w:pPr>
        <w:spacing w:after="100" w:line="320"/>
        <w:jc w:val="both"/>
      </w:pPr>
      <w:r>
        <w:rPr>
          <w:b w:val="false"/>
          <w:bCs w:val="false"/>
          <w:i w:val="false"/>
          <w:iCs w:val="false"/>
          <w:sz w:val="22"/>
          <w:szCs w:val="22"/>
        </w:rPr>
        <w:t xml:space="preserve">La triangulación de las 4 convergencias y las 3 tensiones permite identificar un vacío específico, único y defendible:</w:t>
      </w:r>
    </w:p>
    <w:p>
      <w:pPr>
        <w:pBdr>
          <w:left w:val="single" w:color="1F3864" w:sz="24" w:space="8"/>
        </w:pBdr>
        <w:shd w:fill="E2EFDA" w:val="clear"/>
        <w:spacing w:after="200" w:before="200" w:line="320"/>
        <w:ind w:left="280" w:right="280"/>
        <w:jc w:val="both"/>
      </w:pPr>
      <w:r>
        <w:rPr>
          <w:b/>
          <w:bCs/>
          <w:sz w:val="22"/>
          <w:szCs w:val="22"/>
        </w:rPr>
        <w:t xml:space="preserve">Gap identificado:  </w:t>
      </w:r>
      <w:r>
        <w:rPr>
          <w:sz w:val="22"/>
          <w:szCs w:val="22"/>
        </w:rPr>
        <w:t xml:space="preserve">Ningún estudio publicado entre 2015 y 2025, en las bases consultadas (Scopus, IEEE, PubMed, ScienceDirect, ACM, Frontiers, Springer), conecta simultáneamente: (i) procesamiento de lenguaje natural sobre notas clínicas no estructuradas, (ii) un dataset público y reproducible (MIMIC-IV), y (iii) la operacionalización automatizada de un modelo de excelencia de gestión sanitaria adoptado normativamente por una institución pública (GEMSES vía Directiva GG-ESSALUD-2021). Esta triangulación constituye el espacio original de la presente tesis y justifica empíricamente su contribución teórica, metodológica y aplicada.</w:t>
      </w:r>
    </w:p>
    <w:p>
      <w:pPr>
        <w:pStyle w:val="Heading2"/>
        <w:spacing w:after="140" w:before="240"/>
      </w:pPr>
      <w:r>
        <w:rPr>
          <w:b/>
          <w:bCs/>
          <w:color w:val="2E74B5"/>
          <w:sz w:val="26"/>
          <w:szCs w:val="26"/>
        </w:rPr>
        <w:t xml:space="preserve">1.4 Implicaciones operativas para los próximos capítulos</w:t>
      </w:r>
    </w:p>
    <w:p>
      <w:pPr>
        <w:pStyle w:val="ListParagraph"/>
        <w:numPr>
          <w:ilvl w:val="0"/>
          <w:numId w:val="2"/>
        </w:numPr>
        <w:spacing w:after="60" w:line="300"/>
      </w:pPr>
      <w:r>
        <w:rPr>
          <w:sz w:val="22"/>
          <w:szCs w:val="22"/>
        </w:rPr>
        <w:t xml:space="preserve">Capítulo II (Marco Teórico): estructurar en tres bloques alineados a las 4 convergencias — (a) NLP biomédico, (b) Datos abiertos y MIMIC-IV, (c) Modelos de priorización + GEMSES. Las 3 tensiones se discuten en la sección de "posicionamiento crítico" al final del capítulo.</w:t>
      </w:r>
    </w:p>
    <w:p>
      <w:pPr>
        <w:pStyle w:val="ListParagraph"/>
        <w:numPr>
          <w:ilvl w:val="0"/>
          <w:numId w:val="2"/>
        </w:numPr>
        <w:spacing w:after="60" w:line="300"/>
      </w:pPr>
      <w:r>
        <w:rPr>
          <w:sz w:val="22"/>
          <w:szCs w:val="22"/>
        </w:rPr>
        <w:t xml:space="preserve">Capítulo III (Metodología): el panel experto humano-en-el-loop debe ser explícito (responde a Tensión 3). Comparar al menos 3 transformers biomédicos vs 1 LLM general como ablation (responde a Tensión 1).</w:t>
      </w:r>
    </w:p>
    <w:p>
      <w:pPr>
        <w:pStyle w:val="ListParagraph"/>
        <w:numPr>
          <w:ilvl w:val="0"/>
          <w:numId w:val="2"/>
        </w:numPr>
        <w:spacing w:after="60" w:line="300"/>
      </w:pPr>
      <w:r>
        <w:rPr>
          <w:sz w:val="22"/>
          <w:szCs w:val="22"/>
        </w:rPr>
        <w:t xml:space="preserve">Discusión: defender la originalidad citando la triangulación específica del Gap, no apelando a originalidad genérica.</w:t>
      </w:r>
    </w:p>
    <w:p>
      <w:r>
        <w:br w:type="page"/>
      </w:r>
    </w:p>
    <w:p>
      <w:pPr>
        <w:pStyle w:val="Heading1"/>
        <w:spacing w:after="180" w:before="360"/>
      </w:pPr>
      <w:r>
        <w:rPr>
          <w:b/>
          <w:bCs/>
          <w:color w:val="1F3864"/>
          <w:sz w:val="32"/>
          <w:szCs w:val="32"/>
        </w:rPr>
        <w:t xml:space="preserve">PARTE II — Devil's Advocate (skill: /devils-advocate)</w:t>
      </w:r>
    </w:p>
    <w:p>
      <w:pPr>
        <w:spacing w:after="100" w:line="320"/>
        <w:jc w:val="both"/>
      </w:pPr>
      <w:r>
        <w:rPr>
          <w:b w:val="false"/>
          <w:bCs w:val="false"/>
          <w:i w:val="false"/>
          <w:iCs w:val="false"/>
          <w:sz w:val="22"/>
          <w:szCs w:val="22"/>
        </w:rPr>
        <w:t xml:space="preserve">Aplica el patrón adversarial del workflow: cuestiona la propuesta antes de comprometerla, identifica los puntos de mayor riesgo y propone mitigaciones concretas. Sigue la convención del repositorio: "challenge design decisions before committing". Cada riesgo se evalúa con probabilidad (P), impacto (I) y severidad (S = P × I) en escala 1-5.</w:t>
      </w:r>
    </w:p>
    <w:p>
      <w:pPr>
        <w:pStyle w:val="Heading2"/>
        <w:spacing w:after="140" w:before="240"/>
      </w:pPr>
      <w:r>
        <w:rPr>
          <w:b/>
          <w:bCs/>
          <w:color w:val="2E74B5"/>
          <w:sz w:val="26"/>
          <w:szCs w:val="26"/>
        </w:rPr>
        <w:t xml:space="preserve">2.1 Registro de riesgos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4800"/>
        <w:gridCol w:w="600"/>
        <w:gridCol w:w="600"/>
        <w:gridCol w:w="800"/>
        <w:gridCol w:w="1960"/>
      </w:tblGrid>
      <w:tr>
        <w:trPr>
          <w:tblHeader/>
        </w:trPr>
        <w:tc>
          <w:tcPr>
            <w:tcW w:type="dxa" w:w="600"/>
            <w:tcBorders>
              <w:top w:val="single" w:color="808080" w:sz="4"/>
              <w:left w:val="single" w:color="808080" w:sz="4"/>
              <w:bottom w:val="single" w:color="808080" w:sz="4"/>
              <w:right w:val="single" w:color="808080" w:sz="4"/>
            </w:tcBorders>
            <w:shd w:fill="1F3864" w:val="clear"/>
            <w:tcMar>
              <w:top w:type="dxa" w:w="80"/>
              <w:left w:type="dxa" w:w="120"/>
              <w:bottom w:type="dxa" w:w="80"/>
              <w:right w:type="dxa" w:w="120"/>
            </w:tcMar>
          </w:tcPr>
          <w:p>
            <w:pPr>
              <w:jc w:val="center"/>
            </w:pPr>
            <w:r>
              <w:rPr>
                <w:b/>
                <w:bCs/>
                <w:color w:val="FFFFFF"/>
                <w:sz w:val="18"/>
                <w:szCs w:val="18"/>
              </w:rPr>
              <w:t xml:space="preserve">ID</w:t>
            </w:r>
          </w:p>
        </w:tc>
        <w:tc>
          <w:tcPr>
            <w:tcW w:type="dxa" w:w="4800"/>
            <w:tcBorders>
              <w:top w:val="single" w:color="808080" w:sz="4"/>
              <w:left w:val="single" w:color="808080" w:sz="4"/>
              <w:bottom w:val="single" w:color="808080" w:sz="4"/>
              <w:right w:val="single" w:color="808080" w:sz="4"/>
            </w:tcBorders>
            <w:shd w:fill="1F3864" w:val="clear"/>
            <w:tcMar>
              <w:top w:type="dxa" w:w="80"/>
              <w:left w:type="dxa" w:w="120"/>
              <w:bottom w:type="dxa" w:w="80"/>
              <w:right w:type="dxa" w:w="120"/>
            </w:tcMar>
          </w:tcPr>
          <w:p>
            <w:pPr>
              <w:jc w:val="left"/>
            </w:pPr>
            <w:r>
              <w:rPr>
                <w:b/>
                <w:bCs/>
                <w:color w:val="FFFFFF"/>
                <w:sz w:val="18"/>
                <w:szCs w:val="18"/>
              </w:rPr>
              <w:t xml:space="preserve">Riesgo</w:t>
            </w:r>
          </w:p>
        </w:tc>
        <w:tc>
          <w:tcPr>
            <w:tcW w:type="dxa" w:w="600"/>
            <w:tcBorders>
              <w:top w:val="single" w:color="808080" w:sz="4"/>
              <w:left w:val="single" w:color="808080" w:sz="4"/>
              <w:bottom w:val="single" w:color="808080" w:sz="4"/>
              <w:right w:val="single" w:color="808080" w:sz="4"/>
            </w:tcBorders>
            <w:shd w:fill="1F3864" w:val="clear"/>
            <w:tcMar>
              <w:top w:type="dxa" w:w="80"/>
              <w:left w:type="dxa" w:w="120"/>
              <w:bottom w:type="dxa" w:w="80"/>
              <w:right w:type="dxa" w:w="120"/>
            </w:tcMar>
          </w:tcPr>
          <w:p>
            <w:pPr>
              <w:jc w:val="center"/>
            </w:pPr>
            <w:r>
              <w:rPr>
                <w:b/>
                <w:bCs/>
                <w:color w:val="FFFFFF"/>
                <w:sz w:val="18"/>
                <w:szCs w:val="18"/>
              </w:rPr>
              <w:t xml:space="preserve">P</w:t>
            </w:r>
          </w:p>
        </w:tc>
        <w:tc>
          <w:tcPr>
            <w:tcW w:type="dxa" w:w="600"/>
            <w:tcBorders>
              <w:top w:val="single" w:color="808080" w:sz="4"/>
              <w:left w:val="single" w:color="808080" w:sz="4"/>
              <w:bottom w:val="single" w:color="808080" w:sz="4"/>
              <w:right w:val="single" w:color="808080" w:sz="4"/>
            </w:tcBorders>
            <w:shd w:fill="1F3864" w:val="clear"/>
            <w:tcMar>
              <w:top w:type="dxa" w:w="80"/>
              <w:left w:type="dxa" w:w="120"/>
              <w:bottom w:type="dxa" w:w="80"/>
              <w:right w:type="dxa" w:w="120"/>
            </w:tcMar>
          </w:tcPr>
          <w:p>
            <w:pPr>
              <w:jc w:val="center"/>
            </w:pPr>
            <w:r>
              <w:rPr>
                <w:b/>
                <w:bCs/>
                <w:color w:val="FFFFFF"/>
                <w:sz w:val="18"/>
                <w:szCs w:val="18"/>
              </w:rPr>
              <w:t xml:space="preserve">I</w:t>
            </w:r>
          </w:p>
        </w:tc>
        <w:tc>
          <w:tcPr>
            <w:tcW w:type="dxa" w:w="800"/>
            <w:tcBorders>
              <w:top w:val="single" w:color="808080" w:sz="4"/>
              <w:left w:val="single" w:color="808080" w:sz="4"/>
              <w:bottom w:val="single" w:color="808080" w:sz="4"/>
              <w:right w:val="single" w:color="808080" w:sz="4"/>
            </w:tcBorders>
            <w:shd w:fill="1F3864" w:val="clear"/>
            <w:tcMar>
              <w:top w:type="dxa" w:w="80"/>
              <w:left w:type="dxa" w:w="120"/>
              <w:bottom w:type="dxa" w:w="80"/>
              <w:right w:type="dxa" w:w="120"/>
            </w:tcMar>
          </w:tcPr>
          <w:p>
            <w:pPr>
              <w:jc w:val="center"/>
            </w:pPr>
            <w:r>
              <w:rPr>
                <w:b/>
                <w:bCs/>
                <w:color w:val="FFFFFF"/>
                <w:sz w:val="18"/>
                <w:szCs w:val="18"/>
              </w:rPr>
              <w:t xml:space="preserve">S=P×I</w:t>
            </w:r>
          </w:p>
        </w:tc>
        <w:tc>
          <w:tcPr>
            <w:tcW w:type="dxa" w:w="1960"/>
            <w:tcBorders>
              <w:top w:val="single" w:color="808080" w:sz="4"/>
              <w:left w:val="single" w:color="808080" w:sz="4"/>
              <w:bottom w:val="single" w:color="808080" w:sz="4"/>
              <w:right w:val="single" w:color="808080" w:sz="4"/>
            </w:tcBorders>
            <w:shd w:fill="1F3864" w:val="clear"/>
            <w:tcMar>
              <w:top w:type="dxa" w:w="80"/>
              <w:left w:type="dxa" w:w="120"/>
              <w:bottom w:type="dxa" w:w="80"/>
              <w:right w:type="dxa" w:w="120"/>
            </w:tcMar>
          </w:tcPr>
          <w:p>
            <w:pPr>
              <w:jc w:val="center"/>
            </w:pPr>
            <w:r>
              <w:rPr>
                <w:b/>
                <w:bCs/>
                <w:color w:val="FFFFFF"/>
                <w:sz w:val="18"/>
                <w:szCs w:val="18"/>
              </w:rPr>
              <w:t xml:space="preserve">Severidad</w:t>
            </w:r>
          </w:p>
        </w:tc>
      </w:tr>
      <w:tr>
        <w:tc>
          <w:tcPr>
            <w:tcW w:type="dxa" w:w="600"/>
            <w:tcBorders>
              <w:top w:val="single" w:color="808080" w:sz="4"/>
              <w:left w:val="single" w:color="808080" w:sz="4"/>
              <w:bottom w:val="single" w:color="808080" w:sz="4"/>
              <w:right w:val="single" w:color="808080" w:sz="4"/>
            </w:tcBorders>
            <w:tcMar>
              <w:top w:type="dxa" w:w="80"/>
              <w:left w:type="dxa" w:w="120"/>
              <w:bottom w:type="dxa" w:w="80"/>
              <w:right w:type="dxa" w:w="120"/>
            </w:tcMar>
          </w:tcPr>
          <w:p>
            <w:pPr>
              <w:jc w:val="center"/>
            </w:pPr>
            <w:r>
              <w:rPr>
                <w:b/>
                <w:bCs/>
                <w:color w:val="000000"/>
                <w:sz w:val="18"/>
                <w:szCs w:val="18"/>
              </w:rPr>
              <w:t xml:space="preserve">R1</w:t>
            </w:r>
          </w:p>
        </w:tc>
        <w:tc>
          <w:tcPr>
            <w:tcW w:type="dxa" w:w="4800"/>
            <w:tcBorders>
              <w:top w:val="single" w:color="808080" w:sz="4"/>
              <w:left w:val="single" w:color="808080" w:sz="4"/>
              <w:bottom w:val="single" w:color="808080" w:sz="4"/>
              <w:right w:val="single" w:color="808080" w:sz="4"/>
            </w:tcBorders>
            <w:tcMar>
              <w:top w:type="dxa" w:w="80"/>
              <w:left w:type="dxa" w:w="120"/>
              <w:bottom w:type="dxa" w:w="80"/>
              <w:right w:type="dxa" w:w="120"/>
            </w:tcMar>
          </w:tcPr>
          <w:p>
            <w:pPr>
              <w:jc w:val="left"/>
            </w:pPr>
            <w:r>
              <w:rPr>
                <w:b w:val="false"/>
                <w:bCs w:val="false"/>
                <w:color w:val="000000"/>
                <w:sz w:val="18"/>
                <w:szCs w:val="18"/>
              </w:rPr>
              <w:t xml:space="preserve">Las notas de MIMIC-IV están en inglés; tu sistema sanitario habla español</w:t>
            </w:r>
          </w:p>
        </w:tc>
        <w:tc>
          <w:tcPr>
            <w:tcW w:type="dxa" w:w="600"/>
            <w:tcBorders>
              <w:top w:val="single" w:color="808080" w:sz="4"/>
              <w:left w:val="single" w:color="808080" w:sz="4"/>
              <w:bottom w:val="single" w:color="808080" w:sz="4"/>
              <w:right w:val="single" w:color="808080" w:sz="4"/>
            </w:tcBorders>
            <w:tcMar>
              <w:top w:type="dxa" w:w="80"/>
              <w:left w:type="dxa" w:w="120"/>
              <w:bottom w:type="dxa" w:w="80"/>
              <w:right w:type="dxa" w:w="120"/>
            </w:tcMar>
          </w:tcPr>
          <w:p>
            <w:pPr>
              <w:jc w:val="center"/>
            </w:pPr>
            <w:r>
              <w:rPr>
                <w:b w:val="false"/>
                <w:bCs w:val="false"/>
                <w:color w:val="000000"/>
                <w:sz w:val="18"/>
                <w:szCs w:val="18"/>
              </w:rPr>
              <w:t xml:space="preserve">5</w:t>
            </w:r>
          </w:p>
        </w:tc>
        <w:tc>
          <w:tcPr>
            <w:tcW w:type="dxa" w:w="600"/>
            <w:tcBorders>
              <w:top w:val="single" w:color="808080" w:sz="4"/>
              <w:left w:val="single" w:color="808080" w:sz="4"/>
              <w:bottom w:val="single" w:color="808080" w:sz="4"/>
              <w:right w:val="single" w:color="808080" w:sz="4"/>
            </w:tcBorders>
            <w:tcMar>
              <w:top w:type="dxa" w:w="80"/>
              <w:left w:type="dxa" w:w="120"/>
              <w:bottom w:type="dxa" w:w="80"/>
              <w:right w:type="dxa" w:w="120"/>
            </w:tcMar>
          </w:tcPr>
          <w:p>
            <w:pPr>
              <w:jc w:val="center"/>
            </w:pPr>
            <w:r>
              <w:rPr>
                <w:b w:val="false"/>
                <w:bCs w:val="false"/>
                <w:color w:val="000000"/>
                <w:sz w:val="18"/>
                <w:szCs w:val="18"/>
              </w:rPr>
              <w:t xml:space="preserve">4</w:t>
            </w:r>
          </w:p>
        </w:tc>
        <w:tc>
          <w:tcPr>
            <w:tcW w:type="dxa" w:w="800"/>
            <w:tcBorders>
              <w:top w:val="single" w:color="808080" w:sz="4"/>
              <w:left w:val="single" w:color="808080" w:sz="4"/>
              <w:bottom w:val="single" w:color="808080" w:sz="4"/>
              <w:right w:val="single" w:color="808080" w:sz="4"/>
            </w:tcBorders>
            <w:tcMar>
              <w:top w:type="dxa" w:w="80"/>
              <w:left w:type="dxa" w:w="120"/>
              <w:bottom w:type="dxa" w:w="80"/>
              <w:right w:type="dxa" w:w="120"/>
            </w:tcMar>
          </w:tcPr>
          <w:p>
            <w:pPr>
              <w:jc w:val="center"/>
            </w:pPr>
            <w:r>
              <w:rPr>
                <w:b/>
                <w:bCs/>
                <w:color w:val="000000"/>
                <w:sz w:val="18"/>
                <w:szCs w:val="18"/>
              </w:rPr>
              <w:t xml:space="preserve">20</w:t>
            </w:r>
          </w:p>
        </w:tc>
        <w:tc>
          <w:tcPr>
            <w:tcW w:type="dxa" w:w="1960"/>
            <w:tcBorders>
              <w:top w:val="single" w:color="808080" w:sz="4"/>
              <w:left w:val="single" w:color="808080" w:sz="4"/>
              <w:bottom w:val="single" w:color="808080" w:sz="4"/>
              <w:right w:val="single" w:color="808080" w:sz="4"/>
            </w:tcBorders>
            <w:shd w:fill="C00000" w:val="clear"/>
            <w:tcMar>
              <w:top w:type="dxa" w:w="80"/>
              <w:left w:type="dxa" w:w="120"/>
              <w:bottom w:type="dxa" w:w="80"/>
              <w:right w:type="dxa" w:w="120"/>
            </w:tcMar>
          </w:tcPr>
          <w:p>
            <w:pPr>
              <w:jc w:val="center"/>
            </w:pPr>
            <w:r>
              <w:rPr>
                <w:b/>
                <w:bCs/>
                <w:color w:val="FFFFFF"/>
                <w:sz w:val="18"/>
                <w:szCs w:val="18"/>
              </w:rPr>
              <w:t xml:space="preserve">CRÍTICO</w:t>
            </w:r>
          </w:p>
        </w:tc>
      </w:tr>
      <w:tr>
        <w:tc>
          <w:tcPr>
            <w:tcW w:type="dxa" w:w="600"/>
            <w:tcBorders>
              <w:top w:val="single" w:color="808080" w:sz="4"/>
              <w:left w:val="single" w:color="808080" w:sz="4"/>
              <w:bottom w:val="single" w:color="808080" w:sz="4"/>
              <w:right w:val="single" w:color="808080" w:sz="4"/>
            </w:tcBorders>
            <w:tcMar>
              <w:top w:type="dxa" w:w="80"/>
              <w:left w:type="dxa" w:w="120"/>
              <w:bottom w:type="dxa" w:w="80"/>
              <w:right w:type="dxa" w:w="120"/>
            </w:tcMar>
          </w:tcPr>
          <w:p>
            <w:pPr>
              <w:jc w:val="center"/>
            </w:pPr>
            <w:r>
              <w:rPr>
                <w:b/>
                <w:bCs/>
                <w:color w:val="000000"/>
                <w:sz w:val="18"/>
                <w:szCs w:val="18"/>
              </w:rPr>
              <w:t xml:space="preserve">R2</w:t>
            </w:r>
          </w:p>
        </w:tc>
        <w:tc>
          <w:tcPr>
            <w:tcW w:type="dxa" w:w="4800"/>
            <w:tcBorders>
              <w:top w:val="single" w:color="808080" w:sz="4"/>
              <w:left w:val="single" w:color="808080" w:sz="4"/>
              <w:bottom w:val="single" w:color="808080" w:sz="4"/>
              <w:right w:val="single" w:color="808080" w:sz="4"/>
            </w:tcBorders>
            <w:tcMar>
              <w:top w:type="dxa" w:w="80"/>
              <w:left w:type="dxa" w:w="120"/>
              <w:bottom w:type="dxa" w:w="80"/>
              <w:right w:type="dxa" w:w="120"/>
            </w:tcMar>
          </w:tcPr>
          <w:p>
            <w:pPr>
              <w:jc w:val="left"/>
            </w:pPr>
            <w:r>
              <w:rPr>
                <w:b w:val="false"/>
                <w:bCs w:val="false"/>
                <w:color w:val="000000"/>
                <w:sz w:val="18"/>
                <w:szCs w:val="18"/>
              </w:rPr>
              <w:t xml:space="preserve">MIMIC-IV no tiene labels explícitos de eventos adversos según taxonomía Anexo 02 EsSalud</w:t>
            </w:r>
          </w:p>
        </w:tc>
        <w:tc>
          <w:tcPr>
            <w:tcW w:type="dxa" w:w="600"/>
            <w:tcBorders>
              <w:top w:val="single" w:color="808080" w:sz="4"/>
              <w:left w:val="single" w:color="808080" w:sz="4"/>
              <w:bottom w:val="single" w:color="808080" w:sz="4"/>
              <w:right w:val="single" w:color="808080" w:sz="4"/>
            </w:tcBorders>
            <w:tcMar>
              <w:top w:type="dxa" w:w="80"/>
              <w:left w:type="dxa" w:w="120"/>
              <w:bottom w:type="dxa" w:w="80"/>
              <w:right w:type="dxa" w:w="120"/>
            </w:tcMar>
          </w:tcPr>
          <w:p>
            <w:pPr>
              <w:jc w:val="center"/>
            </w:pPr>
            <w:r>
              <w:rPr>
                <w:b w:val="false"/>
                <w:bCs w:val="false"/>
                <w:color w:val="000000"/>
                <w:sz w:val="18"/>
                <w:szCs w:val="18"/>
              </w:rPr>
              <w:t xml:space="preserve">5</w:t>
            </w:r>
          </w:p>
        </w:tc>
        <w:tc>
          <w:tcPr>
            <w:tcW w:type="dxa" w:w="600"/>
            <w:tcBorders>
              <w:top w:val="single" w:color="808080" w:sz="4"/>
              <w:left w:val="single" w:color="808080" w:sz="4"/>
              <w:bottom w:val="single" w:color="808080" w:sz="4"/>
              <w:right w:val="single" w:color="808080" w:sz="4"/>
            </w:tcBorders>
            <w:tcMar>
              <w:top w:type="dxa" w:w="80"/>
              <w:left w:type="dxa" w:w="120"/>
              <w:bottom w:type="dxa" w:w="80"/>
              <w:right w:type="dxa" w:w="120"/>
            </w:tcMar>
          </w:tcPr>
          <w:p>
            <w:pPr>
              <w:jc w:val="center"/>
            </w:pPr>
            <w:r>
              <w:rPr>
                <w:b w:val="false"/>
                <w:bCs w:val="false"/>
                <w:color w:val="000000"/>
                <w:sz w:val="18"/>
                <w:szCs w:val="18"/>
              </w:rPr>
              <w:t xml:space="preserve">5</w:t>
            </w:r>
          </w:p>
        </w:tc>
        <w:tc>
          <w:tcPr>
            <w:tcW w:type="dxa" w:w="800"/>
            <w:tcBorders>
              <w:top w:val="single" w:color="808080" w:sz="4"/>
              <w:left w:val="single" w:color="808080" w:sz="4"/>
              <w:bottom w:val="single" w:color="808080" w:sz="4"/>
              <w:right w:val="single" w:color="808080" w:sz="4"/>
            </w:tcBorders>
            <w:tcMar>
              <w:top w:type="dxa" w:w="80"/>
              <w:left w:type="dxa" w:w="120"/>
              <w:bottom w:type="dxa" w:w="80"/>
              <w:right w:type="dxa" w:w="120"/>
            </w:tcMar>
          </w:tcPr>
          <w:p>
            <w:pPr>
              <w:jc w:val="center"/>
            </w:pPr>
            <w:r>
              <w:rPr>
                <w:b/>
                <w:bCs/>
                <w:color w:val="000000"/>
                <w:sz w:val="18"/>
                <w:szCs w:val="18"/>
              </w:rPr>
              <w:t xml:space="preserve">25</w:t>
            </w:r>
          </w:p>
        </w:tc>
        <w:tc>
          <w:tcPr>
            <w:tcW w:type="dxa" w:w="1960"/>
            <w:tcBorders>
              <w:top w:val="single" w:color="808080" w:sz="4"/>
              <w:left w:val="single" w:color="808080" w:sz="4"/>
              <w:bottom w:val="single" w:color="808080" w:sz="4"/>
              <w:right w:val="single" w:color="808080" w:sz="4"/>
            </w:tcBorders>
            <w:shd w:fill="C00000" w:val="clear"/>
            <w:tcMar>
              <w:top w:type="dxa" w:w="80"/>
              <w:left w:type="dxa" w:w="120"/>
              <w:bottom w:type="dxa" w:w="80"/>
              <w:right w:type="dxa" w:w="120"/>
            </w:tcMar>
          </w:tcPr>
          <w:p>
            <w:pPr>
              <w:jc w:val="center"/>
            </w:pPr>
            <w:r>
              <w:rPr>
                <w:b/>
                <w:bCs/>
                <w:color w:val="FFFFFF"/>
                <w:sz w:val="18"/>
                <w:szCs w:val="18"/>
              </w:rPr>
              <w:t xml:space="preserve">CRÍTICO</w:t>
            </w:r>
          </w:p>
        </w:tc>
      </w:tr>
      <w:tr>
        <w:tc>
          <w:tcPr>
            <w:tcW w:type="dxa" w:w="600"/>
            <w:tcBorders>
              <w:top w:val="single" w:color="808080" w:sz="4"/>
              <w:left w:val="single" w:color="808080" w:sz="4"/>
              <w:bottom w:val="single" w:color="808080" w:sz="4"/>
              <w:right w:val="single" w:color="808080" w:sz="4"/>
            </w:tcBorders>
            <w:tcMar>
              <w:top w:type="dxa" w:w="80"/>
              <w:left w:type="dxa" w:w="120"/>
              <w:bottom w:type="dxa" w:w="80"/>
              <w:right w:type="dxa" w:w="120"/>
            </w:tcMar>
          </w:tcPr>
          <w:p>
            <w:pPr>
              <w:jc w:val="center"/>
            </w:pPr>
            <w:r>
              <w:rPr>
                <w:b/>
                <w:bCs/>
                <w:color w:val="000000"/>
                <w:sz w:val="18"/>
                <w:szCs w:val="18"/>
              </w:rPr>
              <w:t xml:space="preserve">R3</w:t>
            </w:r>
          </w:p>
        </w:tc>
        <w:tc>
          <w:tcPr>
            <w:tcW w:type="dxa" w:w="4800"/>
            <w:tcBorders>
              <w:top w:val="single" w:color="808080" w:sz="4"/>
              <w:left w:val="single" w:color="808080" w:sz="4"/>
              <w:bottom w:val="single" w:color="808080" w:sz="4"/>
              <w:right w:val="single" w:color="808080" w:sz="4"/>
            </w:tcBorders>
            <w:tcMar>
              <w:top w:type="dxa" w:w="80"/>
              <w:left w:type="dxa" w:w="120"/>
              <w:bottom w:type="dxa" w:w="80"/>
              <w:right w:type="dxa" w:w="120"/>
            </w:tcMar>
          </w:tcPr>
          <w:p>
            <w:pPr>
              <w:jc w:val="left"/>
            </w:pPr>
            <w:r>
              <w:rPr>
                <w:b w:val="false"/>
                <w:bCs w:val="false"/>
                <w:color w:val="000000"/>
                <w:sz w:val="18"/>
                <w:szCs w:val="18"/>
              </w:rPr>
              <w:t xml:space="preserve">Las cuatro dimensiones de GEMSES (Tiempo, Calidad, Costos, Satisfacción) requieren proxies cuestionables</w:t>
            </w:r>
          </w:p>
        </w:tc>
        <w:tc>
          <w:tcPr>
            <w:tcW w:type="dxa" w:w="600"/>
            <w:tcBorders>
              <w:top w:val="single" w:color="808080" w:sz="4"/>
              <w:left w:val="single" w:color="808080" w:sz="4"/>
              <w:bottom w:val="single" w:color="808080" w:sz="4"/>
              <w:right w:val="single" w:color="808080" w:sz="4"/>
            </w:tcBorders>
            <w:tcMar>
              <w:top w:type="dxa" w:w="80"/>
              <w:left w:type="dxa" w:w="120"/>
              <w:bottom w:type="dxa" w:w="80"/>
              <w:right w:type="dxa" w:w="120"/>
            </w:tcMar>
          </w:tcPr>
          <w:p>
            <w:pPr>
              <w:jc w:val="center"/>
            </w:pPr>
            <w:r>
              <w:rPr>
                <w:b w:val="false"/>
                <w:bCs w:val="false"/>
                <w:color w:val="000000"/>
                <w:sz w:val="18"/>
                <w:szCs w:val="18"/>
              </w:rPr>
              <w:t xml:space="preserve">4</w:t>
            </w:r>
          </w:p>
        </w:tc>
        <w:tc>
          <w:tcPr>
            <w:tcW w:type="dxa" w:w="600"/>
            <w:tcBorders>
              <w:top w:val="single" w:color="808080" w:sz="4"/>
              <w:left w:val="single" w:color="808080" w:sz="4"/>
              <w:bottom w:val="single" w:color="808080" w:sz="4"/>
              <w:right w:val="single" w:color="808080" w:sz="4"/>
            </w:tcBorders>
            <w:tcMar>
              <w:top w:type="dxa" w:w="80"/>
              <w:left w:type="dxa" w:w="120"/>
              <w:bottom w:type="dxa" w:w="80"/>
              <w:right w:type="dxa" w:w="120"/>
            </w:tcMar>
          </w:tcPr>
          <w:p>
            <w:pPr>
              <w:jc w:val="center"/>
            </w:pPr>
            <w:r>
              <w:rPr>
                <w:b w:val="false"/>
                <w:bCs w:val="false"/>
                <w:color w:val="000000"/>
                <w:sz w:val="18"/>
                <w:szCs w:val="18"/>
              </w:rPr>
              <w:t xml:space="preserve">4</w:t>
            </w:r>
          </w:p>
        </w:tc>
        <w:tc>
          <w:tcPr>
            <w:tcW w:type="dxa" w:w="800"/>
            <w:tcBorders>
              <w:top w:val="single" w:color="808080" w:sz="4"/>
              <w:left w:val="single" w:color="808080" w:sz="4"/>
              <w:bottom w:val="single" w:color="808080" w:sz="4"/>
              <w:right w:val="single" w:color="808080" w:sz="4"/>
            </w:tcBorders>
            <w:tcMar>
              <w:top w:type="dxa" w:w="80"/>
              <w:left w:type="dxa" w:w="120"/>
              <w:bottom w:type="dxa" w:w="80"/>
              <w:right w:type="dxa" w:w="120"/>
            </w:tcMar>
          </w:tcPr>
          <w:p>
            <w:pPr>
              <w:jc w:val="center"/>
            </w:pPr>
            <w:r>
              <w:rPr>
                <w:b/>
                <w:bCs/>
                <w:color w:val="000000"/>
                <w:sz w:val="18"/>
                <w:szCs w:val="18"/>
              </w:rPr>
              <w:t xml:space="preserve">16</w:t>
            </w:r>
          </w:p>
        </w:tc>
        <w:tc>
          <w:tcPr>
            <w:tcW w:type="dxa" w:w="1960"/>
            <w:tcBorders>
              <w:top w:val="single" w:color="808080" w:sz="4"/>
              <w:left w:val="single" w:color="808080" w:sz="4"/>
              <w:bottom w:val="single" w:color="808080" w:sz="4"/>
              <w:right w:val="single" w:color="808080" w:sz="4"/>
            </w:tcBorders>
            <w:shd w:fill="C00000" w:val="clear"/>
            <w:tcMar>
              <w:top w:type="dxa" w:w="80"/>
              <w:left w:type="dxa" w:w="120"/>
              <w:bottom w:type="dxa" w:w="80"/>
              <w:right w:type="dxa" w:w="120"/>
            </w:tcMar>
          </w:tcPr>
          <w:p>
            <w:pPr>
              <w:jc w:val="center"/>
            </w:pPr>
            <w:r>
              <w:rPr>
                <w:b/>
                <w:bCs/>
                <w:color w:val="FFFFFF"/>
                <w:sz w:val="18"/>
                <w:szCs w:val="18"/>
              </w:rPr>
              <w:t xml:space="preserve">CRÍTICO</w:t>
            </w:r>
          </w:p>
        </w:tc>
      </w:tr>
      <w:tr>
        <w:tc>
          <w:tcPr>
            <w:tcW w:type="dxa" w:w="600"/>
            <w:tcBorders>
              <w:top w:val="single" w:color="808080" w:sz="4"/>
              <w:left w:val="single" w:color="808080" w:sz="4"/>
              <w:bottom w:val="single" w:color="808080" w:sz="4"/>
              <w:right w:val="single" w:color="808080" w:sz="4"/>
            </w:tcBorders>
            <w:tcMar>
              <w:top w:type="dxa" w:w="80"/>
              <w:left w:type="dxa" w:w="120"/>
              <w:bottom w:type="dxa" w:w="80"/>
              <w:right w:type="dxa" w:w="120"/>
            </w:tcMar>
          </w:tcPr>
          <w:p>
            <w:pPr>
              <w:jc w:val="center"/>
            </w:pPr>
            <w:r>
              <w:rPr>
                <w:b/>
                <w:bCs/>
                <w:color w:val="000000"/>
                <w:sz w:val="18"/>
                <w:szCs w:val="18"/>
              </w:rPr>
              <w:t xml:space="preserve">R4</w:t>
            </w:r>
          </w:p>
        </w:tc>
        <w:tc>
          <w:tcPr>
            <w:tcW w:type="dxa" w:w="4800"/>
            <w:tcBorders>
              <w:top w:val="single" w:color="808080" w:sz="4"/>
              <w:left w:val="single" w:color="808080" w:sz="4"/>
              <w:bottom w:val="single" w:color="808080" w:sz="4"/>
              <w:right w:val="single" w:color="808080" w:sz="4"/>
            </w:tcBorders>
            <w:tcMar>
              <w:top w:type="dxa" w:w="80"/>
              <w:left w:type="dxa" w:w="120"/>
              <w:bottom w:type="dxa" w:w="80"/>
              <w:right w:type="dxa" w:w="120"/>
            </w:tcMar>
          </w:tcPr>
          <w:p>
            <w:pPr>
              <w:jc w:val="left"/>
            </w:pPr>
            <w:r>
              <w:rPr>
                <w:b w:val="false"/>
                <w:bCs w:val="false"/>
                <w:color w:val="000000"/>
                <w:sz w:val="18"/>
                <w:szCs w:val="18"/>
              </w:rPr>
              <w:t xml:space="preserve">La aprobación de PhysioNet puede demorar más de 14 días</w:t>
            </w:r>
          </w:p>
        </w:tc>
        <w:tc>
          <w:tcPr>
            <w:tcW w:type="dxa" w:w="600"/>
            <w:tcBorders>
              <w:top w:val="single" w:color="808080" w:sz="4"/>
              <w:left w:val="single" w:color="808080" w:sz="4"/>
              <w:bottom w:val="single" w:color="808080" w:sz="4"/>
              <w:right w:val="single" w:color="808080" w:sz="4"/>
            </w:tcBorders>
            <w:tcMar>
              <w:top w:type="dxa" w:w="80"/>
              <w:left w:type="dxa" w:w="120"/>
              <w:bottom w:type="dxa" w:w="80"/>
              <w:right w:type="dxa" w:w="120"/>
            </w:tcMar>
          </w:tcPr>
          <w:p>
            <w:pPr>
              <w:jc w:val="center"/>
            </w:pPr>
            <w:r>
              <w:rPr>
                <w:b w:val="false"/>
                <w:bCs w:val="false"/>
                <w:color w:val="000000"/>
                <w:sz w:val="18"/>
                <w:szCs w:val="18"/>
              </w:rPr>
              <w:t xml:space="preserve">3</w:t>
            </w:r>
          </w:p>
        </w:tc>
        <w:tc>
          <w:tcPr>
            <w:tcW w:type="dxa" w:w="600"/>
            <w:tcBorders>
              <w:top w:val="single" w:color="808080" w:sz="4"/>
              <w:left w:val="single" w:color="808080" w:sz="4"/>
              <w:bottom w:val="single" w:color="808080" w:sz="4"/>
              <w:right w:val="single" w:color="808080" w:sz="4"/>
            </w:tcBorders>
            <w:tcMar>
              <w:top w:type="dxa" w:w="80"/>
              <w:left w:type="dxa" w:w="120"/>
              <w:bottom w:type="dxa" w:w="80"/>
              <w:right w:type="dxa" w:w="120"/>
            </w:tcMar>
          </w:tcPr>
          <w:p>
            <w:pPr>
              <w:jc w:val="center"/>
            </w:pPr>
            <w:r>
              <w:rPr>
                <w:b w:val="false"/>
                <w:bCs w:val="false"/>
                <w:color w:val="000000"/>
                <w:sz w:val="18"/>
                <w:szCs w:val="18"/>
              </w:rPr>
              <w:t xml:space="preserve">3</w:t>
            </w:r>
          </w:p>
        </w:tc>
        <w:tc>
          <w:tcPr>
            <w:tcW w:type="dxa" w:w="800"/>
            <w:tcBorders>
              <w:top w:val="single" w:color="808080" w:sz="4"/>
              <w:left w:val="single" w:color="808080" w:sz="4"/>
              <w:bottom w:val="single" w:color="808080" w:sz="4"/>
              <w:right w:val="single" w:color="808080" w:sz="4"/>
            </w:tcBorders>
            <w:tcMar>
              <w:top w:type="dxa" w:w="80"/>
              <w:left w:type="dxa" w:w="120"/>
              <w:bottom w:type="dxa" w:w="80"/>
              <w:right w:type="dxa" w:w="120"/>
            </w:tcMar>
          </w:tcPr>
          <w:p>
            <w:pPr>
              <w:jc w:val="center"/>
            </w:pPr>
            <w:r>
              <w:rPr>
                <w:b/>
                <w:bCs/>
                <w:color w:val="000000"/>
                <w:sz w:val="18"/>
                <w:szCs w:val="18"/>
              </w:rPr>
              <w:t xml:space="preserve">9</w:t>
            </w:r>
          </w:p>
        </w:tc>
        <w:tc>
          <w:tcPr>
            <w:tcW w:type="dxa" w:w="1960"/>
            <w:tcBorders>
              <w:top w:val="single" w:color="808080" w:sz="4"/>
              <w:left w:val="single" w:color="808080" w:sz="4"/>
              <w:bottom w:val="single" w:color="808080" w:sz="4"/>
              <w:right w:val="single" w:color="808080" w:sz="4"/>
            </w:tcBorders>
            <w:shd w:fill="ED7D31" w:val="clear"/>
            <w:tcMar>
              <w:top w:type="dxa" w:w="80"/>
              <w:left w:type="dxa" w:w="120"/>
              <w:bottom w:type="dxa" w:w="80"/>
              <w:right w:type="dxa" w:w="120"/>
            </w:tcMar>
          </w:tcPr>
          <w:p>
            <w:pPr>
              <w:jc w:val="center"/>
            </w:pPr>
            <w:r>
              <w:rPr>
                <w:b/>
                <w:bCs/>
                <w:color w:val="000000"/>
                <w:sz w:val="18"/>
                <w:szCs w:val="18"/>
              </w:rPr>
              <w:t xml:space="preserve">ALTO</w:t>
            </w:r>
          </w:p>
        </w:tc>
      </w:tr>
      <w:tr>
        <w:tc>
          <w:tcPr>
            <w:tcW w:type="dxa" w:w="600"/>
            <w:tcBorders>
              <w:top w:val="single" w:color="808080" w:sz="4"/>
              <w:left w:val="single" w:color="808080" w:sz="4"/>
              <w:bottom w:val="single" w:color="808080" w:sz="4"/>
              <w:right w:val="single" w:color="808080" w:sz="4"/>
            </w:tcBorders>
            <w:tcMar>
              <w:top w:type="dxa" w:w="80"/>
              <w:left w:type="dxa" w:w="120"/>
              <w:bottom w:type="dxa" w:w="80"/>
              <w:right w:type="dxa" w:w="120"/>
            </w:tcMar>
          </w:tcPr>
          <w:p>
            <w:pPr>
              <w:jc w:val="center"/>
            </w:pPr>
            <w:r>
              <w:rPr>
                <w:b/>
                <w:bCs/>
                <w:color w:val="000000"/>
                <w:sz w:val="18"/>
                <w:szCs w:val="18"/>
              </w:rPr>
              <w:t xml:space="preserve">R5</w:t>
            </w:r>
          </w:p>
        </w:tc>
        <w:tc>
          <w:tcPr>
            <w:tcW w:type="dxa" w:w="4800"/>
            <w:tcBorders>
              <w:top w:val="single" w:color="808080" w:sz="4"/>
              <w:left w:val="single" w:color="808080" w:sz="4"/>
              <w:bottom w:val="single" w:color="808080" w:sz="4"/>
              <w:right w:val="single" w:color="808080" w:sz="4"/>
            </w:tcBorders>
            <w:tcMar>
              <w:top w:type="dxa" w:w="80"/>
              <w:left w:type="dxa" w:w="120"/>
              <w:bottom w:type="dxa" w:w="80"/>
              <w:right w:type="dxa" w:w="120"/>
            </w:tcMar>
          </w:tcPr>
          <w:p>
            <w:pPr>
              <w:jc w:val="left"/>
            </w:pPr>
            <w:r>
              <w:rPr>
                <w:b w:val="false"/>
                <w:bCs w:val="false"/>
                <w:color w:val="000000"/>
                <w:sz w:val="18"/>
                <w:szCs w:val="18"/>
              </w:rPr>
              <w:t xml:space="preserve">Conflicto de intereses: eres autor de GEMSES y validador del modelo</w:t>
            </w:r>
          </w:p>
        </w:tc>
        <w:tc>
          <w:tcPr>
            <w:tcW w:type="dxa" w:w="600"/>
            <w:tcBorders>
              <w:top w:val="single" w:color="808080" w:sz="4"/>
              <w:left w:val="single" w:color="808080" w:sz="4"/>
              <w:bottom w:val="single" w:color="808080" w:sz="4"/>
              <w:right w:val="single" w:color="808080" w:sz="4"/>
            </w:tcBorders>
            <w:tcMar>
              <w:top w:type="dxa" w:w="80"/>
              <w:left w:type="dxa" w:w="120"/>
              <w:bottom w:type="dxa" w:w="80"/>
              <w:right w:type="dxa" w:w="120"/>
            </w:tcMar>
          </w:tcPr>
          <w:p>
            <w:pPr>
              <w:jc w:val="center"/>
            </w:pPr>
            <w:r>
              <w:rPr>
                <w:b w:val="false"/>
                <w:bCs w:val="false"/>
                <w:color w:val="000000"/>
                <w:sz w:val="18"/>
                <w:szCs w:val="18"/>
              </w:rPr>
              <w:t xml:space="preserve">3</w:t>
            </w:r>
          </w:p>
        </w:tc>
        <w:tc>
          <w:tcPr>
            <w:tcW w:type="dxa" w:w="600"/>
            <w:tcBorders>
              <w:top w:val="single" w:color="808080" w:sz="4"/>
              <w:left w:val="single" w:color="808080" w:sz="4"/>
              <w:bottom w:val="single" w:color="808080" w:sz="4"/>
              <w:right w:val="single" w:color="808080" w:sz="4"/>
            </w:tcBorders>
            <w:tcMar>
              <w:top w:type="dxa" w:w="80"/>
              <w:left w:type="dxa" w:w="120"/>
              <w:bottom w:type="dxa" w:w="80"/>
              <w:right w:type="dxa" w:w="120"/>
            </w:tcMar>
          </w:tcPr>
          <w:p>
            <w:pPr>
              <w:jc w:val="center"/>
            </w:pPr>
            <w:r>
              <w:rPr>
                <w:b w:val="false"/>
                <w:bCs w:val="false"/>
                <w:color w:val="000000"/>
                <w:sz w:val="18"/>
                <w:szCs w:val="18"/>
              </w:rPr>
              <w:t xml:space="preserve">3</w:t>
            </w:r>
          </w:p>
        </w:tc>
        <w:tc>
          <w:tcPr>
            <w:tcW w:type="dxa" w:w="800"/>
            <w:tcBorders>
              <w:top w:val="single" w:color="808080" w:sz="4"/>
              <w:left w:val="single" w:color="808080" w:sz="4"/>
              <w:bottom w:val="single" w:color="808080" w:sz="4"/>
              <w:right w:val="single" w:color="808080" w:sz="4"/>
            </w:tcBorders>
            <w:tcMar>
              <w:top w:type="dxa" w:w="80"/>
              <w:left w:type="dxa" w:w="120"/>
              <w:bottom w:type="dxa" w:w="80"/>
              <w:right w:type="dxa" w:w="120"/>
            </w:tcMar>
          </w:tcPr>
          <w:p>
            <w:pPr>
              <w:jc w:val="center"/>
            </w:pPr>
            <w:r>
              <w:rPr>
                <w:b/>
                <w:bCs/>
                <w:color w:val="000000"/>
                <w:sz w:val="18"/>
                <w:szCs w:val="18"/>
              </w:rPr>
              <w:t xml:space="preserve">9</w:t>
            </w:r>
          </w:p>
        </w:tc>
        <w:tc>
          <w:tcPr>
            <w:tcW w:type="dxa" w:w="1960"/>
            <w:tcBorders>
              <w:top w:val="single" w:color="808080" w:sz="4"/>
              <w:left w:val="single" w:color="808080" w:sz="4"/>
              <w:bottom w:val="single" w:color="808080" w:sz="4"/>
              <w:right w:val="single" w:color="808080" w:sz="4"/>
            </w:tcBorders>
            <w:shd w:fill="ED7D31" w:val="clear"/>
            <w:tcMar>
              <w:top w:type="dxa" w:w="80"/>
              <w:left w:type="dxa" w:w="120"/>
              <w:bottom w:type="dxa" w:w="80"/>
              <w:right w:type="dxa" w:w="120"/>
            </w:tcMar>
          </w:tcPr>
          <w:p>
            <w:pPr>
              <w:jc w:val="center"/>
            </w:pPr>
            <w:r>
              <w:rPr>
                <w:b/>
                <w:bCs/>
                <w:color w:val="000000"/>
                <w:sz w:val="18"/>
                <w:szCs w:val="18"/>
              </w:rPr>
              <w:t xml:space="preserve">ALTO</w:t>
            </w:r>
          </w:p>
        </w:tc>
      </w:tr>
      <w:tr>
        <w:tc>
          <w:tcPr>
            <w:tcW w:type="dxa" w:w="600"/>
            <w:tcBorders>
              <w:top w:val="single" w:color="808080" w:sz="4"/>
              <w:left w:val="single" w:color="808080" w:sz="4"/>
              <w:bottom w:val="single" w:color="808080" w:sz="4"/>
              <w:right w:val="single" w:color="808080" w:sz="4"/>
            </w:tcBorders>
            <w:tcMar>
              <w:top w:type="dxa" w:w="80"/>
              <w:left w:type="dxa" w:w="120"/>
              <w:bottom w:type="dxa" w:w="80"/>
              <w:right w:type="dxa" w:w="120"/>
            </w:tcMar>
          </w:tcPr>
          <w:p>
            <w:pPr>
              <w:jc w:val="center"/>
            </w:pPr>
            <w:r>
              <w:rPr>
                <w:b/>
                <w:bCs/>
                <w:color w:val="000000"/>
                <w:sz w:val="18"/>
                <w:szCs w:val="18"/>
              </w:rPr>
              <w:t xml:space="preserve">R6</w:t>
            </w:r>
          </w:p>
        </w:tc>
        <w:tc>
          <w:tcPr>
            <w:tcW w:type="dxa" w:w="4800"/>
            <w:tcBorders>
              <w:top w:val="single" w:color="808080" w:sz="4"/>
              <w:left w:val="single" w:color="808080" w:sz="4"/>
              <w:bottom w:val="single" w:color="808080" w:sz="4"/>
              <w:right w:val="single" w:color="808080" w:sz="4"/>
            </w:tcBorders>
            <w:tcMar>
              <w:top w:type="dxa" w:w="80"/>
              <w:left w:type="dxa" w:w="120"/>
              <w:bottom w:type="dxa" w:w="80"/>
              <w:right w:type="dxa" w:w="120"/>
            </w:tcMar>
          </w:tcPr>
          <w:p>
            <w:pPr>
              <w:jc w:val="left"/>
            </w:pPr>
            <w:r>
              <w:rPr>
                <w:b w:val="false"/>
                <w:bCs w:val="false"/>
                <w:color w:val="000000"/>
                <w:sz w:val="18"/>
                <w:szCs w:val="18"/>
              </w:rPr>
              <w:t xml:space="preserve">Cómputo: BioBERT/ClinicalBERT requieren GPU, costos pueden exceder presupuesto</w:t>
            </w:r>
          </w:p>
        </w:tc>
        <w:tc>
          <w:tcPr>
            <w:tcW w:type="dxa" w:w="600"/>
            <w:tcBorders>
              <w:top w:val="single" w:color="808080" w:sz="4"/>
              <w:left w:val="single" w:color="808080" w:sz="4"/>
              <w:bottom w:val="single" w:color="808080" w:sz="4"/>
              <w:right w:val="single" w:color="808080" w:sz="4"/>
            </w:tcBorders>
            <w:tcMar>
              <w:top w:type="dxa" w:w="80"/>
              <w:left w:type="dxa" w:w="120"/>
              <w:bottom w:type="dxa" w:w="80"/>
              <w:right w:type="dxa" w:w="120"/>
            </w:tcMar>
          </w:tcPr>
          <w:p>
            <w:pPr>
              <w:jc w:val="center"/>
            </w:pPr>
            <w:r>
              <w:rPr>
                <w:b w:val="false"/>
                <w:bCs w:val="false"/>
                <w:color w:val="000000"/>
                <w:sz w:val="18"/>
                <w:szCs w:val="18"/>
              </w:rPr>
              <w:t xml:space="preserve">3</w:t>
            </w:r>
          </w:p>
        </w:tc>
        <w:tc>
          <w:tcPr>
            <w:tcW w:type="dxa" w:w="600"/>
            <w:tcBorders>
              <w:top w:val="single" w:color="808080" w:sz="4"/>
              <w:left w:val="single" w:color="808080" w:sz="4"/>
              <w:bottom w:val="single" w:color="808080" w:sz="4"/>
              <w:right w:val="single" w:color="808080" w:sz="4"/>
            </w:tcBorders>
            <w:tcMar>
              <w:top w:type="dxa" w:w="80"/>
              <w:left w:type="dxa" w:w="120"/>
              <w:bottom w:type="dxa" w:w="80"/>
              <w:right w:type="dxa" w:w="120"/>
            </w:tcMar>
          </w:tcPr>
          <w:p>
            <w:pPr>
              <w:jc w:val="center"/>
            </w:pPr>
            <w:r>
              <w:rPr>
                <w:b w:val="false"/>
                <w:bCs w:val="false"/>
                <w:color w:val="000000"/>
                <w:sz w:val="18"/>
                <w:szCs w:val="18"/>
              </w:rPr>
              <w:t xml:space="preserve">2</w:t>
            </w:r>
          </w:p>
        </w:tc>
        <w:tc>
          <w:tcPr>
            <w:tcW w:type="dxa" w:w="800"/>
            <w:tcBorders>
              <w:top w:val="single" w:color="808080" w:sz="4"/>
              <w:left w:val="single" w:color="808080" w:sz="4"/>
              <w:bottom w:val="single" w:color="808080" w:sz="4"/>
              <w:right w:val="single" w:color="808080" w:sz="4"/>
            </w:tcBorders>
            <w:tcMar>
              <w:top w:type="dxa" w:w="80"/>
              <w:left w:type="dxa" w:w="120"/>
              <w:bottom w:type="dxa" w:w="80"/>
              <w:right w:type="dxa" w:w="120"/>
            </w:tcMar>
          </w:tcPr>
          <w:p>
            <w:pPr>
              <w:jc w:val="center"/>
            </w:pPr>
            <w:r>
              <w:rPr>
                <w:b/>
                <w:bCs/>
                <w:color w:val="000000"/>
                <w:sz w:val="18"/>
                <w:szCs w:val="18"/>
              </w:rPr>
              <w:t xml:space="preserve">6</w:t>
            </w:r>
          </w:p>
        </w:tc>
        <w:tc>
          <w:tcPr>
            <w:tcW w:type="dxa" w:w="1960"/>
            <w:tcBorders>
              <w:top w:val="single" w:color="808080" w:sz="4"/>
              <w:left w:val="single" w:color="808080" w:sz="4"/>
              <w:bottom w:val="single" w:color="808080" w:sz="4"/>
              <w:right w:val="single" w:color="808080" w:sz="4"/>
            </w:tcBorders>
            <w:shd w:fill="FFC000" w:val="clear"/>
            <w:tcMar>
              <w:top w:type="dxa" w:w="80"/>
              <w:left w:type="dxa" w:w="120"/>
              <w:bottom w:type="dxa" w:w="80"/>
              <w:right w:type="dxa" w:w="120"/>
            </w:tcMar>
          </w:tcPr>
          <w:p>
            <w:pPr>
              <w:jc w:val="center"/>
            </w:pPr>
            <w:r>
              <w:rPr>
                <w:b/>
                <w:bCs/>
                <w:color w:val="000000"/>
                <w:sz w:val="18"/>
                <w:szCs w:val="18"/>
              </w:rPr>
              <w:t xml:space="preserve">MEDIO</w:t>
            </w:r>
          </w:p>
        </w:tc>
      </w:tr>
      <w:tr>
        <w:tc>
          <w:tcPr>
            <w:tcW w:type="dxa" w:w="600"/>
            <w:tcBorders>
              <w:top w:val="single" w:color="808080" w:sz="4"/>
              <w:left w:val="single" w:color="808080" w:sz="4"/>
              <w:bottom w:val="single" w:color="808080" w:sz="4"/>
              <w:right w:val="single" w:color="808080" w:sz="4"/>
            </w:tcBorders>
            <w:tcMar>
              <w:top w:type="dxa" w:w="80"/>
              <w:left w:type="dxa" w:w="120"/>
              <w:bottom w:type="dxa" w:w="80"/>
              <w:right w:type="dxa" w:w="120"/>
            </w:tcMar>
          </w:tcPr>
          <w:p>
            <w:pPr>
              <w:jc w:val="center"/>
            </w:pPr>
            <w:r>
              <w:rPr>
                <w:b/>
                <w:bCs/>
                <w:color w:val="000000"/>
                <w:sz w:val="18"/>
                <w:szCs w:val="18"/>
              </w:rPr>
              <w:t xml:space="preserve">R7</w:t>
            </w:r>
          </w:p>
        </w:tc>
        <w:tc>
          <w:tcPr>
            <w:tcW w:type="dxa" w:w="4800"/>
            <w:tcBorders>
              <w:top w:val="single" w:color="808080" w:sz="4"/>
              <w:left w:val="single" w:color="808080" w:sz="4"/>
              <w:bottom w:val="single" w:color="808080" w:sz="4"/>
              <w:right w:val="single" w:color="808080" w:sz="4"/>
            </w:tcBorders>
            <w:tcMar>
              <w:top w:type="dxa" w:w="80"/>
              <w:left w:type="dxa" w:w="120"/>
              <w:bottom w:type="dxa" w:w="80"/>
              <w:right w:type="dxa" w:w="120"/>
            </w:tcMar>
          </w:tcPr>
          <w:p>
            <w:pPr>
              <w:jc w:val="left"/>
            </w:pPr>
            <w:r>
              <w:rPr>
                <w:b w:val="false"/>
                <w:bCs w:val="false"/>
                <w:color w:val="000000"/>
                <w:sz w:val="18"/>
                <w:szCs w:val="18"/>
              </w:rPr>
              <w:t xml:space="preserve">El alcance puede ser demasiado ambicioso para 9-12 meses</w:t>
            </w:r>
          </w:p>
        </w:tc>
        <w:tc>
          <w:tcPr>
            <w:tcW w:type="dxa" w:w="600"/>
            <w:tcBorders>
              <w:top w:val="single" w:color="808080" w:sz="4"/>
              <w:left w:val="single" w:color="808080" w:sz="4"/>
              <w:bottom w:val="single" w:color="808080" w:sz="4"/>
              <w:right w:val="single" w:color="808080" w:sz="4"/>
            </w:tcBorders>
            <w:tcMar>
              <w:top w:type="dxa" w:w="80"/>
              <w:left w:type="dxa" w:w="120"/>
              <w:bottom w:type="dxa" w:w="80"/>
              <w:right w:type="dxa" w:w="120"/>
            </w:tcMar>
          </w:tcPr>
          <w:p>
            <w:pPr>
              <w:jc w:val="center"/>
            </w:pPr>
            <w:r>
              <w:rPr>
                <w:b w:val="false"/>
                <w:bCs w:val="false"/>
                <w:color w:val="000000"/>
                <w:sz w:val="18"/>
                <w:szCs w:val="18"/>
              </w:rPr>
              <w:t xml:space="preserve">4</w:t>
            </w:r>
          </w:p>
        </w:tc>
        <w:tc>
          <w:tcPr>
            <w:tcW w:type="dxa" w:w="600"/>
            <w:tcBorders>
              <w:top w:val="single" w:color="808080" w:sz="4"/>
              <w:left w:val="single" w:color="808080" w:sz="4"/>
              <w:bottom w:val="single" w:color="808080" w:sz="4"/>
              <w:right w:val="single" w:color="808080" w:sz="4"/>
            </w:tcBorders>
            <w:tcMar>
              <w:top w:type="dxa" w:w="80"/>
              <w:left w:type="dxa" w:w="120"/>
              <w:bottom w:type="dxa" w:w="80"/>
              <w:right w:type="dxa" w:w="120"/>
            </w:tcMar>
          </w:tcPr>
          <w:p>
            <w:pPr>
              <w:jc w:val="center"/>
            </w:pPr>
            <w:r>
              <w:rPr>
                <w:b w:val="false"/>
                <w:bCs w:val="false"/>
                <w:color w:val="000000"/>
                <w:sz w:val="18"/>
                <w:szCs w:val="18"/>
              </w:rPr>
              <w:t xml:space="preserve">4</w:t>
            </w:r>
          </w:p>
        </w:tc>
        <w:tc>
          <w:tcPr>
            <w:tcW w:type="dxa" w:w="800"/>
            <w:tcBorders>
              <w:top w:val="single" w:color="808080" w:sz="4"/>
              <w:left w:val="single" w:color="808080" w:sz="4"/>
              <w:bottom w:val="single" w:color="808080" w:sz="4"/>
              <w:right w:val="single" w:color="808080" w:sz="4"/>
            </w:tcBorders>
            <w:tcMar>
              <w:top w:type="dxa" w:w="80"/>
              <w:left w:type="dxa" w:w="120"/>
              <w:bottom w:type="dxa" w:w="80"/>
              <w:right w:type="dxa" w:w="120"/>
            </w:tcMar>
          </w:tcPr>
          <w:p>
            <w:pPr>
              <w:jc w:val="center"/>
            </w:pPr>
            <w:r>
              <w:rPr>
                <w:b/>
                <w:bCs/>
                <w:color w:val="000000"/>
                <w:sz w:val="18"/>
                <w:szCs w:val="18"/>
              </w:rPr>
              <w:t xml:space="preserve">16</w:t>
            </w:r>
          </w:p>
        </w:tc>
        <w:tc>
          <w:tcPr>
            <w:tcW w:type="dxa" w:w="1960"/>
            <w:tcBorders>
              <w:top w:val="single" w:color="808080" w:sz="4"/>
              <w:left w:val="single" w:color="808080" w:sz="4"/>
              <w:bottom w:val="single" w:color="808080" w:sz="4"/>
              <w:right w:val="single" w:color="808080" w:sz="4"/>
            </w:tcBorders>
            <w:shd w:fill="ED7D31" w:val="clear"/>
            <w:tcMar>
              <w:top w:type="dxa" w:w="80"/>
              <w:left w:type="dxa" w:w="120"/>
              <w:bottom w:type="dxa" w:w="80"/>
              <w:right w:type="dxa" w:w="120"/>
            </w:tcMar>
          </w:tcPr>
          <w:p>
            <w:pPr>
              <w:jc w:val="center"/>
            </w:pPr>
            <w:r>
              <w:rPr>
                <w:b/>
                <w:bCs/>
                <w:color w:val="000000"/>
                <w:sz w:val="18"/>
                <w:szCs w:val="18"/>
              </w:rPr>
              <w:t xml:space="preserve">CRÍTICO</w:t>
            </w:r>
          </w:p>
        </w:tc>
      </w:tr>
    </w:tbl>
    <w:p>
      <w:pPr>
        <w:spacing w:after="100" w:line="320"/>
        <w:jc w:val="center"/>
      </w:pPr>
      <w:r>
        <w:rPr>
          <w:b w:val="false"/>
          <w:bCs w:val="false"/>
          <w:i w:val="false"/>
          <w:iCs w:val="false"/>
          <w:sz w:val="18"/>
          <w:szCs w:val="18"/>
        </w:rPr>
        <w:t xml:space="preserve">(Escala: P=probabilidad 1-5, I=impacto 1-5)</w:t>
      </w:r>
    </w:p>
    <w:p>
      <w:pPr>
        <w:pStyle w:val="Heading2"/>
        <w:spacing w:after="140" w:before="240"/>
      </w:pPr>
      <w:r>
        <w:rPr>
          <w:b/>
          <w:bCs/>
          <w:color w:val="2E74B5"/>
          <w:sz w:val="26"/>
          <w:szCs w:val="26"/>
        </w:rPr>
        <w:t xml:space="preserve">2.2 Detalle y mitigaciones por riesgo</w:t>
      </w:r>
    </w:p>
    <w:p>
      <w:pPr>
        <w:pStyle w:val="Heading3"/>
        <w:spacing w:after="100" w:before="180"/>
      </w:pPr>
      <w:r>
        <w:rPr>
          <w:b/>
          <w:bCs/>
          <w:color w:val="2E74B5"/>
          <w:sz w:val="22"/>
          <w:szCs w:val="22"/>
        </w:rPr>
        <w:t xml:space="preserve">R1 — Las notas de MIMIC-IV están en inglés; tu sistema sanitario habla español</w:t>
      </w:r>
    </w:p>
    <w:p>
      <w:pPr>
        <w:spacing w:after="100" w:line="320"/>
        <w:jc w:val="both"/>
      </w:pPr>
      <w:r>
        <w:rPr>
          <w:b w:val="false"/>
          <w:bCs w:val="false"/>
          <w:i w:val="false"/>
          <w:iCs w:val="false"/>
          <w:sz w:val="22"/>
          <w:szCs w:val="22"/>
        </w:rPr>
        <w:t xml:space="preserve">Descripción: Un modelo entrenado en inglés no transfiere directamente a notas clínicas peruanas. La profesora Tejada puede preguntar legítimamente por qué un sistema validado en inglés es relevante para EsSalud.</w:t>
      </w:r>
    </w:p>
    <w:p>
      <w:pPr>
        <w:spacing w:after="100" w:line="320"/>
        <w:jc w:val="both"/>
      </w:pPr>
      <w:r>
        <w:rPr>
          <w:b w:val="false"/>
          <w:bCs w:val="false"/>
          <w:i w:val="false"/>
          <w:iCs w:val="false"/>
          <w:sz w:val="22"/>
          <w:szCs w:val="22"/>
        </w:rPr>
        <w:t xml:space="preserve">Mitigación: Reformular el contribución como "validación de la METODOLOGÍA" (transferible) y no del MODELO ESPECÍFICO. Incluir Objetivo Específico 5 (transferencia a español) ya está. Adicionalmente, ejecutar al final del estudio un experimento piloto sobre 50-100 notas en español (notas sintéticas o disponibles en datasets como CodiEsp) para demostrar transferibilidad.</w:t>
      </w:r>
    </w:p>
    <w:p>
      <w:pPr>
        <w:pStyle w:val="Heading3"/>
        <w:spacing w:after="100" w:before="180"/>
      </w:pPr>
      <w:r>
        <w:rPr>
          <w:b/>
          <w:bCs/>
          <w:color w:val="2E74B5"/>
          <w:sz w:val="22"/>
          <w:szCs w:val="22"/>
        </w:rPr>
        <w:t xml:space="preserve">R2 — MIMIC-IV no tiene labels explícitos de eventos adversos según taxonomía Anexo 02 EsSalud</w:t>
      </w:r>
    </w:p>
    <w:p>
      <w:pPr>
        <w:spacing w:after="100" w:line="320"/>
        <w:jc w:val="both"/>
      </w:pPr>
      <w:r>
        <w:rPr>
          <w:b w:val="false"/>
          <w:bCs w:val="false"/>
          <w:i w:val="false"/>
          <w:iCs w:val="false"/>
          <w:sz w:val="22"/>
          <w:szCs w:val="22"/>
        </w:rPr>
        <w:t xml:space="preserve">Descripción: Para entrenar el clasificador necesitas etiquetas. MIMIC-IV trae ICD-10 y procedimientos, pero no "caída de paciente", "error de medicación según LASA", "desplazamiento de catéter". El mapeo no es trivial.</w:t>
      </w:r>
    </w:p>
    <w:p>
      <w:pPr>
        <w:spacing w:after="100" w:line="320"/>
        <w:jc w:val="both"/>
      </w:pPr>
      <w:r>
        <w:rPr>
          <w:b w:val="false"/>
          <w:bCs w:val="false"/>
          <w:i w:val="false"/>
          <w:iCs w:val="false"/>
          <w:sz w:val="22"/>
          <w:szCs w:val="22"/>
        </w:rPr>
        <w:t xml:space="preserve">Mitigación: (i) Identificar subset de eventos donde ICD-10 mapea limpiamente (ej. infecciones nosocomiales tienen códigos específicos). (ii) Usar weak supervision (heurísticas + Snorkel) para labels iniciales. (iii) Validar con anotación manual de 200-300 notas estratificadas — esto es factible en 3-4 semanas. (iv) Reconocer en limitaciones que la cobertura de la taxonomía Anexo 02 será parcial, no completa, en la primera iteración.</w:t>
      </w:r>
    </w:p>
    <w:p>
      <w:pPr>
        <w:pStyle w:val="Heading3"/>
        <w:spacing w:after="100" w:before="180"/>
      </w:pPr>
      <w:r>
        <w:rPr>
          <w:b/>
          <w:bCs/>
          <w:color w:val="2E74B5"/>
          <w:sz w:val="22"/>
          <w:szCs w:val="22"/>
        </w:rPr>
        <w:t xml:space="preserve">R3 — Las cuatro dimensiones de GEMSES (Tiempo, Calidad, Costos, Satisfacción) requieren proxies cuestionables</w:t>
      </w:r>
    </w:p>
    <w:p>
      <w:pPr>
        <w:spacing w:after="100" w:line="320"/>
        <w:jc w:val="both"/>
      </w:pPr>
      <w:r>
        <w:rPr>
          <w:b w:val="false"/>
          <w:bCs w:val="false"/>
          <w:i w:val="false"/>
          <w:iCs w:val="false"/>
          <w:sz w:val="22"/>
          <w:szCs w:val="22"/>
        </w:rPr>
        <w:t xml:space="preserve">Descripción: La fórmula G = c×0.40 + d×0.20 + e×0.15 + f×0.25 supone medir las 4 dimensiones. En MIMIC-IV: Tiempo→length of stay (OK), Calidad→ICD complications (parcial), Costos→DRG weight (proxy débil), Satisfacción→readmisión 30d (muy débil).</w:t>
      </w:r>
    </w:p>
    <w:p>
      <w:pPr>
        <w:spacing w:after="100" w:line="320"/>
        <w:jc w:val="both"/>
      </w:pPr>
      <w:r>
        <w:rPr>
          <w:b w:val="false"/>
          <w:bCs w:val="false"/>
          <w:i w:val="false"/>
          <w:iCs w:val="false"/>
          <w:sz w:val="22"/>
          <w:szCs w:val="22"/>
        </w:rPr>
        <w:t xml:space="preserve">Mitigación: Hacer explícito en Cap III qué proxies usas y justificar cada uno con literatura. Realizar análisis de sensibilidad: ¿qué pasa si la ponderación cambia ±20 %? Si los resultados son robustos, el proxy débil de "Satisfacción" es tolerable.</w:t>
      </w:r>
    </w:p>
    <w:p>
      <w:pPr>
        <w:pStyle w:val="Heading3"/>
        <w:spacing w:after="100" w:before="180"/>
      </w:pPr>
      <w:r>
        <w:rPr>
          <w:b/>
          <w:bCs/>
          <w:color w:val="2E74B5"/>
          <w:sz w:val="22"/>
          <w:szCs w:val="22"/>
        </w:rPr>
        <w:t xml:space="preserve">R4 — La aprobación de PhysioNet puede demorar más de 14 días</w:t>
      </w:r>
    </w:p>
    <w:p>
      <w:pPr>
        <w:spacing w:after="100" w:line="320"/>
        <w:jc w:val="both"/>
      </w:pPr>
      <w:r>
        <w:rPr>
          <w:b w:val="false"/>
          <w:bCs w:val="false"/>
          <w:i w:val="false"/>
          <w:iCs w:val="false"/>
          <w:sz w:val="22"/>
          <w:szCs w:val="22"/>
        </w:rPr>
        <w:t xml:space="preserve">Descripción: El credentialing requiere revisión humana. Si demora 4-6 semanas, comprime el cronograma del proyecto.</w:t>
      </w:r>
    </w:p>
    <w:p>
      <w:pPr>
        <w:spacing w:after="100" w:line="320"/>
        <w:jc w:val="both"/>
      </w:pPr>
      <w:r>
        <w:rPr>
          <w:b w:val="false"/>
          <w:bCs w:val="false"/>
          <w:i w:val="false"/>
          <w:iCs w:val="false"/>
          <w:sz w:val="22"/>
          <w:szCs w:val="22"/>
        </w:rPr>
        <w:t xml:space="preserve">Mitigación: Iniciar HOY (ver sección PhysioNet del documento Strings_Busqueda). Mientras corre, avanzar con búsqueda bibliográfica completa, redacción de Cap II, y experimentos preliminares con datasets sintéticos (BRAT, n2c2 2018 — accesible inmediato).</w:t>
      </w:r>
    </w:p>
    <w:p>
      <w:pPr>
        <w:pStyle w:val="Heading3"/>
        <w:spacing w:after="100" w:before="180"/>
      </w:pPr>
      <w:r>
        <w:rPr>
          <w:b/>
          <w:bCs/>
          <w:color w:val="2E74B5"/>
          <w:sz w:val="22"/>
          <w:szCs w:val="22"/>
        </w:rPr>
        <w:t xml:space="preserve">R5 — Conflicto de intereses: eres autor de GEMSES y validador del modelo</w:t>
      </w:r>
    </w:p>
    <w:p>
      <w:pPr>
        <w:spacing w:after="100" w:line="320"/>
        <w:jc w:val="both"/>
      </w:pPr>
      <w:r>
        <w:rPr>
          <w:b w:val="false"/>
          <w:bCs w:val="false"/>
          <w:i w:val="false"/>
          <w:iCs w:val="false"/>
          <w:sz w:val="22"/>
          <w:szCs w:val="22"/>
        </w:rPr>
        <w:t xml:space="preserve">Descripción: Defender un modelo del que eres autor es metodológicamente sospechoso. La profesora Tejada y un revisor de revista lo van a notar.</w:t>
      </w:r>
    </w:p>
    <w:p>
      <w:pPr>
        <w:spacing w:after="100" w:line="320"/>
        <w:jc w:val="both"/>
      </w:pPr>
      <w:r>
        <w:rPr>
          <w:b w:val="false"/>
          <w:bCs w:val="false"/>
          <w:i w:val="false"/>
          <w:iCs w:val="false"/>
          <w:sz w:val="22"/>
          <w:szCs w:val="22"/>
        </w:rPr>
        <w:t xml:space="preserve">Mitigación: Declaración explícita en sección de "Conflicts of Interest" del paper futuro. Establecer panel experto INDEPENDIENTE para validación (Objetivo Específico 4). Reportar resultados negativos si los hubiera (no esconderlos). El modelo GEMSES está adoptado normativamente por EsSalud, lo cual reduce — pero no elimina — el sesgo.</w:t>
      </w:r>
    </w:p>
    <w:p>
      <w:pPr>
        <w:pStyle w:val="Heading3"/>
        <w:spacing w:after="100" w:before="180"/>
      </w:pPr>
      <w:r>
        <w:rPr>
          <w:b/>
          <w:bCs/>
          <w:color w:val="2E74B5"/>
          <w:sz w:val="22"/>
          <w:szCs w:val="22"/>
        </w:rPr>
        <w:t xml:space="preserve">R6 — Cómputo: BioBERT/ClinicalBERT requieren GPU, costos pueden exceder presupuesto</w:t>
      </w:r>
    </w:p>
    <w:p>
      <w:pPr>
        <w:spacing w:after="100" w:line="320"/>
        <w:jc w:val="both"/>
      </w:pPr>
      <w:r>
        <w:rPr>
          <w:b w:val="false"/>
          <w:bCs w:val="false"/>
          <w:i w:val="false"/>
          <w:iCs w:val="false"/>
          <w:sz w:val="22"/>
          <w:szCs w:val="22"/>
        </w:rPr>
        <w:t xml:space="preserve">Descripción: Fine-tuning de transformers sobre miles de notas requiere GPU. Google Colab Pro ofrece A100 limitada; Kaggle ofrece T4/P100 gratis pero con cuotas.</w:t>
      </w:r>
    </w:p>
    <w:p>
      <w:pPr>
        <w:spacing w:after="100" w:line="320"/>
        <w:jc w:val="both"/>
      </w:pPr>
      <w:r>
        <w:rPr>
          <w:b w:val="false"/>
          <w:bCs w:val="false"/>
          <w:i w:val="false"/>
          <w:iCs w:val="false"/>
          <w:sz w:val="22"/>
          <w:szCs w:val="22"/>
        </w:rPr>
        <w:t xml:space="preserve">Mitigación: Usar Kaggle Notebooks (T4 gratis, 30h/semana) para experimentación + Colab Pro (USD 9.99/mes) para entrenamientos finales. Considerar destilación a modelos más pequeños (DistilBERT) si presupuesto se aprieta. Costo total estimado: USD 50-100 si se gestiona con cuidado.</w:t>
      </w:r>
    </w:p>
    <w:p>
      <w:pPr>
        <w:pStyle w:val="Heading3"/>
        <w:spacing w:after="100" w:before="180"/>
      </w:pPr>
      <w:r>
        <w:rPr>
          <w:b/>
          <w:bCs/>
          <w:color w:val="2E74B5"/>
          <w:sz w:val="22"/>
          <w:szCs w:val="22"/>
        </w:rPr>
        <w:t xml:space="preserve">R7 — El alcance puede ser demasiado ambicioso para 9-12 meses</w:t>
      </w:r>
    </w:p>
    <w:p>
      <w:pPr>
        <w:spacing w:after="100" w:line="320"/>
        <w:jc w:val="both"/>
      </w:pPr>
      <w:r>
        <w:rPr>
          <w:b w:val="false"/>
          <w:bCs w:val="false"/>
          <w:i w:val="false"/>
          <w:iCs w:val="false"/>
          <w:sz w:val="22"/>
          <w:szCs w:val="22"/>
        </w:rPr>
        <w:t xml:space="preserve">Descripción: El pipeline tiene dos etapas (NLP + priorización) y 5 objetivos específicos. Hay riesgo de no llegar a la validación con panel experto antes del Examen Final (semana 15).</w:t>
      </w:r>
    </w:p>
    <w:p>
      <w:pPr>
        <w:spacing w:after="100" w:line="320"/>
        <w:jc w:val="both"/>
      </w:pPr>
      <w:r>
        <w:rPr>
          <w:b w:val="false"/>
          <w:bCs w:val="false"/>
          <w:i w:val="false"/>
          <w:iCs w:val="false"/>
          <w:sz w:val="22"/>
          <w:szCs w:val="22"/>
        </w:rPr>
        <w:t xml:space="preserve">Mitigación: Definir hitos de fast-track del workflow Sant'Anna: 60/100 quality gate para prototipo (semana 8 = examen parcial), 80/100 para versión defendible (semana 15 = examen final), 90/100 para paper Q1 (post-tesis). Si la priorización completa no llega a tiempo, presentar la Etapa 1 (NLP) defendida y la Etapa 2 (priorización) como prueba de concepto.</w:t>
      </w:r>
    </w:p>
    <w:p>
      <w:pPr>
        <w:pStyle w:val="Heading2"/>
        <w:spacing w:after="140" w:before="240"/>
      </w:pPr>
      <w:r>
        <w:rPr>
          <w:b/>
          <w:bCs/>
          <w:color w:val="2E74B5"/>
          <w:sz w:val="26"/>
          <w:szCs w:val="26"/>
        </w:rPr>
        <w:t xml:space="preserve">2.3 Decisiones de diseño que conviene revisar</w:t>
      </w:r>
    </w:p>
    <w:p>
      <w:pPr>
        <w:pStyle w:val="ListParagraph"/>
        <w:numPr>
          <w:ilvl w:val="0"/>
          <w:numId w:val="2"/>
        </w:numPr>
        <w:spacing w:after="60" w:line="300"/>
      </w:pPr>
      <w:r>
        <w:rPr>
          <w:sz w:val="22"/>
          <w:szCs w:val="22"/>
        </w:rPr>
        <w:t xml:space="preserve">¿Vale la pena incluir Etapa 2 (priorización GEMSES) en este ciclo, o conviene posponerla? Recomendación: SÍ incluirla pero como Objetivo Específico 4 con calidad fast-track (60/100). El paper publicable se concentra en Etapa 1; Etapa 2 es el aporte original que diferencia.</w:t>
      </w:r>
    </w:p>
    <w:p>
      <w:pPr>
        <w:pStyle w:val="ListParagraph"/>
        <w:numPr>
          <w:ilvl w:val="0"/>
          <w:numId w:val="2"/>
        </w:numPr>
        <w:spacing w:after="60" w:line="300"/>
      </w:pPr>
      <w:r>
        <w:rPr>
          <w:sz w:val="22"/>
          <w:szCs w:val="22"/>
        </w:rPr>
        <w:t xml:space="preserve">¿Comparar tres transformers biomédicos es exceso? Recomendación: NO. Es exactamente lo que pide la profesora Tejada en el Cap III modelo ("comparar al menos 2-3 algoritmos"). Mantener BioBERT vs ClinicalBERT vs DistilBERT (este último como baseline ligero).</w:t>
      </w:r>
    </w:p>
    <w:p>
      <w:pPr>
        <w:pStyle w:val="ListParagraph"/>
        <w:numPr>
          <w:ilvl w:val="0"/>
          <w:numId w:val="2"/>
        </w:numPr>
        <w:spacing w:after="60" w:line="300"/>
      </w:pPr>
      <w:r>
        <w:rPr>
          <w:sz w:val="22"/>
          <w:szCs w:val="22"/>
        </w:rPr>
        <w:t xml:space="preserve">¿Cuál es el plan B si MIMIC-IV no llega a tiempo? Recomendación: usar n2c2 2018 challenge dataset (notas anotadas para ADE, públicas, accesibles inmediatamente sin credentialing pesado) como dataset puente para Etapa 1, y MIMIC-IV cuando llegue.</w:t>
      </w:r>
    </w:p>
    <w:p>
      <w:r>
        <w:br w:type="page"/>
      </w:r>
    </w:p>
    <w:p>
      <w:pPr>
        <w:pStyle w:val="Heading1"/>
        <w:spacing w:after="180" w:before="360"/>
      </w:pPr>
      <w:r>
        <w:rPr>
          <w:b/>
          <w:bCs/>
          <w:color w:val="1F3864"/>
          <w:sz w:val="32"/>
          <w:szCs w:val="32"/>
        </w:rPr>
        <w:t xml:space="preserve">PARTE III — Preregistro formal del estudio (skill: /preregister)</w:t>
      </w:r>
    </w:p>
    <w:p>
      <w:pPr>
        <w:spacing w:after="100" w:line="320"/>
        <w:jc w:val="both"/>
      </w:pPr>
      <w:r>
        <w:rPr>
          <w:b w:val="false"/>
          <w:bCs w:val="false"/>
          <w:i w:val="false"/>
          <w:iCs w:val="false"/>
          <w:sz w:val="22"/>
          <w:szCs w:val="22"/>
        </w:rPr>
        <w:t xml:space="preserve">Documento estilo OSF / AEA RCT Registry / AsPredicted. Su propósito es comprometer hipótesis, variables y plan analítico antes de ver los datos, lo que reduce el riesgo de p-hacking y refuerza credibilidad ante revisores.</w:t>
      </w:r>
    </w:p>
    <w:p>
      <w:pPr>
        <w:pStyle w:val="Heading2"/>
        <w:spacing w:after="140" w:before="240"/>
      </w:pPr>
      <w:r>
        <w:rPr>
          <w:b/>
          <w:bCs/>
          <w:color w:val="2E74B5"/>
          <w:sz w:val="26"/>
          <w:szCs w:val="26"/>
        </w:rPr>
        <w:t xml:space="preserve">3.1 Identificación del estudio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808080" w:sz="4"/>
              <w:left w:val="single" w:color="808080" w:sz="4"/>
              <w:bottom w:val="single" w:color="808080" w:sz="4"/>
              <w:right w:val="single" w:color="808080" w:sz="4"/>
            </w:tcBorders>
            <w:shd w:fill="DBE5F1" w:val="clear"/>
            <w:tcMar>
              <w:top w:type="dxa" w:w="80"/>
              <w:left w:type="dxa" w:w="120"/>
              <w:bottom w:type="dxa" w:w="80"/>
              <w:right w:type="dxa" w:w="120"/>
            </w:tcMar>
          </w:tcPr>
          <w:p>
            <w:pPr>
              <w:jc w:val="left"/>
            </w:pPr>
            <w:r>
              <w:rPr>
                <w:b/>
                <w:bCs/>
                <w:color w:val="000000"/>
                <w:sz w:val="18"/>
                <w:szCs w:val="18"/>
              </w:rPr>
              <w:t xml:space="preserve">Título</w:t>
            </w:r>
          </w:p>
        </w:tc>
        <w:tc>
          <w:tcPr>
            <w:tcW w:type="dxa" w:w="6360"/>
            <w:tcBorders>
              <w:top w:val="single" w:color="808080" w:sz="4"/>
              <w:left w:val="single" w:color="808080" w:sz="4"/>
              <w:bottom w:val="single" w:color="808080" w:sz="4"/>
              <w:right w:val="single" w:color="808080" w:sz="4"/>
            </w:tcBorders>
            <w:tcMar>
              <w:top w:type="dxa" w:w="80"/>
              <w:left w:type="dxa" w:w="120"/>
              <w:bottom w:type="dxa" w:w="80"/>
              <w:right w:type="dxa" w:w="120"/>
            </w:tcMar>
          </w:tcPr>
          <w:p>
            <w:pPr>
              <w:jc w:val="left"/>
            </w:pPr>
            <w:r>
              <w:rPr>
                <w:b w:val="false"/>
                <w:bCs w:val="false"/>
                <w:color w:val="000000"/>
                <w:sz w:val="18"/>
                <w:szCs w:val="18"/>
              </w:rPr>
              <w:t xml:space="preserve">Detección automatizada y priorización de eventos adversos desde notas clínicas no estructuradas mediante NLP y ML — aplicación de la Matriz de Priorización del Modelo GEMSES sobre MIMIC-IV</w:t>
            </w:r>
          </w:p>
        </w:tc>
      </w:tr>
      <w:tr>
        <w:tc>
          <w:tcPr>
            <w:tcW w:type="dxa" w:w="3000"/>
            <w:tcBorders>
              <w:top w:val="single" w:color="808080" w:sz="4"/>
              <w:left w:val="single" w:color="808080" w:sz="4"/>
              <w:bottom w:val="single" w:color="808080" w:sz="4"/>
              <w:right w:val="single" w:color="808080" w:sz="4"/>
            </w:tcBorders>
            <w:shd w:fill="DBE5F1" w:val="clear"/>
            <w:tcMar>
              <w:top w:type="dxa" w:w="80"/>
              <w:left w:type="dxa" w:w="120"/>
              <w:bottom w:type="dxa" w:w="80"/>
              <w:right w:type="dxa" w:w="120"/>
            </w:tcMar>
          </w:tcPr>
          <w:p>
            <w:pPr>
              <w:jc w:val="left"/>
            </w:pPr>
            <w:r>
              <w:rPr>
                <w:b/>
                <w:bCs/>
                <w:color w:val="000000"/>
                <w:sz w:val="18"/>
                <w:szCs w:val="18"/>
              </w:rPr>
              <w:t xml:space="preserve">Investigador principal</w:t>
            </w:r>
          </w:p>
        </w:tc>
        <w:tc>
          <w:tcPr>
            <w:tcW w:type="dxa" w:w="6360"/>
            <w:tcBorders>
              <w:top w:val="single" w:color="808080" w:sz="4"/>
              <w:left w:val="single" w:color="808080" w:sz="4"/>
              <w:bottom w:val="single" w:color="808080" w:sz="4"/>
              <w:right w:val="single" w:color="808080" w:sz="4"/>
            </w:tcBorders>
            <w:tcMar>
              <w:top w:type="dxa" w:w="80"/>
              <w:left w:type="dxa" w:w="120"/>
              <w:bottom w:type="dxa" w:w="80"/>
              <w:right w:type="dxa" w:w="120"/>
            </w:tcMar>
          </w:tcPr>
          <w:p>
            <w:pPr>
              <w:jc w:val="left"/>
            </w:pPr>
            <w:r>
              <w:rPr>
                <w:b w:val="false"/>
                <w:bCs w:val="false"/>
                <w:color w:val="000000"/>
                <w:sz w:val="18"/>
                <w:szCs w:val="18"/>
              </w:rPr>
              <w:t xml:space="preserve">Carlos Pérez Pérez (UNI – Maestría en Inteligencia Artificial)</w:t>
            </w:r>
          </w:p>
        </w:tc>
      </w:tr>
      <w:tr>
        <w:tc>
          <w:tcPr>
            <w:tcW w:type="dxa" w:w="3000"/>
            <w:tcBorders>
              <w:top w:val="single" w:color="808080" w:sz="4"/>
              <w:left w:val="single" w:color="808080" w:sz="4"/>
              <w:bottom w:val="single" w:color="808080" w:sz="4"/>
              <w:right w:val="single" w:color="808080" w:sz="4"/>
            </w:tcBorders>
            <w:shd w:fill="DBE5F1" w:val="clear"/>
            <w:tcMar>
              <w:top w:type="dxa" w:w="80"/>
              <w:left w:type="dxa" w:w="120"/>
              <w:bottom w:type="dxa" w:w="80"/>
              <w:right w:type="dxa" w:w="120"/>
            </w:tcMar>
          </w:tcPr>
          <w:p>
            <w:pPr>
              <w:jc w:val="left"/>
            </w:pPr>
            <w:r>
              <w:rPr>
                <w:b/>
                <w:bCs/>
                <w:color w:val="000000"/>
                <w:sz w:val="18"/>
                <w:szCs w:val="18"/>
              </w:rPr>
              <w:t xml:space="preserve">Institución</w:t>
            </w:r>
          </w:p>
        </w:tc>
        <w:tc>
          <w:tcPr>
            <w:tcW w:type="dxa" w:w="6360"/>
            <w:tcBorders>
              <w:top w:val="single" w:color="808080" w:sz="4"/>
              <w:left w:val="single" w:color="808080" w:sz="4"/>
              <w:bottom w:val="single" w:color="808080" w:sz="4"/>
              <w:right w:val="single" w:color="808080" w:sz="4"/>
            </w:tcBorders>
            <w:tcMar>
              <w:top w:type="dxa" w:w="80"/>
              <w:left w:type="dxa" w:w="120"/>
              <w:bottom w:type="dxa" w:w="80"/>
              <w:right w:type="dxa" w:w="120"/>
            </w:tcMar>
          </w:tcPr>
          <w:p>
            <w:pPr>
              <w:jc w:val="left"/>
            </w:pPr>
            <w:r>
              <w:rPr>
                <w:b w:val="false"/>
                <w:bCs w:val="false"/>
                <w:color w:val="000000"/>
                <w:sz w:val="18"/>
                <w:szCs w:val="18"/>
              </w:rPr>
              <w:t xml:space="preserve">Universidad Nacional de Ingeniería, Facultad de Ingeniería Industrial y de Sistemas, Unidad de Posgrado</w:t>
            </w:r>
          </w:p>
        </w:tc>
      </w:tr>
      <w:tr>
        <w:tc>
          <w:tcPr>
            <w:tcW w:type="dxa" w:w="3000"/>
            <w:tcBorders>
              <w:top w:val="single" w:color="808080" w:sz="4"/>
              <w:left w:val="single" w:color="808080" w:sz="4"/>
              <w:bottom w:val="single" w:color="808080" w:sz="4"/>
              <w:right w:val="single" w:color="808080" w:sz="4"/>
            </w:tcBorders>
            <w:shd w:fill="DBE5F1" w:val="clear"/>
            <w:tcMar>
              <w:top w:type="dxa" w:w="80"/>
              <w:left w:type="dxa" w:w="120"/>
              <w:bottom w:type="dxa" w:w="80"/>
              <w:right w:type="dxa" w:w="120"/>
            </w:tcMar>
          </w:tcPr>
          <w:p>
            <w:pPr>
              <w:jc w:val="left"/>
            </w:pPr>
            <w:r>
              <w:rPr>
                <w:b/>
                <w:bCs/>
                <w:color w:val="000000"/>
                <w:sz w:val="18"/>
                <w:szCs w:val="18"/>
              </w:rPr>
              <w:t xml:space="preserve">Curso</w:t>
            </w:r>
          </w:p>
        </w:tc>
        <w:tc>
          <w:tcPr>
            <w:tcW w:type="dxa" w:w="6360"/>
            <w:tcBorders>
              <w:top w:val="single" w:color="808080" w:sz="4"/>
              <w:left w:val="single" w:color="808080" w:sz="4"/>
              <w:bottom w:val="single" w:color="808080" w:sz="4"/>
              <w:right w:val="single" w:color="808080" w:sz="4"/>
            </w:tcBorders>
            <w:tcMar>
              <w:top w:type="dxa" w:w="80"/>
              <w:left w:type="dxa" w:w="120"/>
              <w:bottom w:type="dxa" w:w="80"/>
              <w:right w:type="dxa" w:w="120"/>
            </w:tcMar>
          </w:tcPr>
          <w:p>
            <w:pPr>
              <w:jc w:val="left"/>
            </w:pPr>
            <w:r>
              <w:rPr>
                <w:b w:val="false"/>
                <w:bCs w:val="false"/>
                <w:color w:val="000000"/>
                <w:sz w:val="18"/>
                <w:szCs w:val="18"/>
              </w:rPr>
              <w:t xml:space="preserve">MIA 303 – Proyectos de Investigación I</w:t>
            </w:r>
          </w:p>
        </w:tc>
      </w:tr>
      <w:tr>
        <w:tc>
          <w:tcPr>
            <w:tcW w:type="dxa" w:w="3000"/>
            <w:tcBorders>
              <w:top w:val="single" w:color="808080" w:sz="4"/>
              <w:left w:val="single" w:color="808080" w:sz="4"/>
              <w:bottom w:val="single" w:color="808080" w:sz="4"/>
              <w:right w:val="single" w:color="808080" w:sz="4"/>
            </w:tcBorders>
            <w:shd w:fill="DBE5F1" w:val="clear"/>
            <w:tcMar>
              <w:top w:type="dxa" w:w="80"/>
              <w:left w:type="dxa" w:w="120"/>
              <w:bottom w:type="dxa" w:w="80"/>
              <w:right w:type="dxa" w:w="120"/>
            </w:tcMar>
          </w:tcPr>
          <w:p>
            <w:pPr>
              <w:jc w:val="left"/>
            </w:pPr>
            <w:r>
              <w:rPr>
                <w:b/>
                <w:bCs/>
                <w:color w:val="000000"/>
                <w:sz w:val="18"/>
                <w:szCs w:val="18"/>
              </w:rPr>
              <w:t xml:space="preserve">Asesora del curso</w:t>
            </w:r>
          </w:p>
        </w:tc>
        <w:tc>
          <w:tcPr>
            <w:tcW w:type="dxa" w:w="6360"/>
            <w:tcBorders>
              <w:top w:val="single" w:color="808080" w:sz="4"/>
              <w:left w:val="single" w:color="808080" w:sz="4"/>
              <w:bottom w:val="single" w:color="808080" w:sz="4"/>
              <w:right w:val="single" w:color="808080" w:sz="4"/>
            </w:tcBorders>
            <w:tcMar>
              <w:top w:type="dxa" w:w="80"/>
              <w:left w:type="dxa" w:w="120"/>
              <w:bottom w:type="dxa" w:w="80"/>
              <w:right w:type="dxa" w:w="120"/>
            </w:tcMar>
          </w:tcPr>
          <w:p>
            <w:pPr>
              <w:jc w:val="left"/>
            </w:pPr>
            <w:r>
              <w:rPr>
                <w:b w:val="false"/>
                <w:bCs w:val="false"/>
                <w:color w:val="000000"/>
                <w:sz w:val="18"/>
                <w:szCs w:val="18"/>
              </w:rPr>
              <w:t xml:space="preserve">Mg. Eng. Maria F. Tejada Begazo</w:t>
            </w:r>
          </w:p>
        </w:tc>
      </w:tr>
      <w:tr>
        <w:tc>
          <w:tcPr>
            <w:tcW w:type="dxa" w:w="3000"/>
            <w:tcBorders>
              <w:top w:val="single" w:color="808080" w:sz="4"/>
              <w:left w:val="single" w:color="808080" w:sz="4"/>
              <w:bottom w:val="single" w:color="808080" w:sz="4"/>
              <w:right w:val="single" w:color="808080" w:sz="4"/>
            </w:tcBorders>
            <w:shd w:fill="DBE5F1" w:val="clear"/>
            <w:tcMar>
              <w:top w:type="dxa" w:w="80"/>
              <w:left w:type="dxa" w:w="120"/>
              <w:bottom w:type="dxa" w:w="80"/>
              <w:right w:type="dxa" w:w="120"/>
            </w:tcMar>
          </w:tcPr>
          <w:p>
            <w:pPr>
              <w:jc w:val="left"/>
            </w:pPr>
            <w:r>
              <w:rPr>
                <w:b/>
                <w:bCs/>
                <w:color w:val="000000"/>
                <w:sz w:val="18"/>
                <w:szCs w:val="18"/>
              </w:rPr>
              <w:t xml:space="preserve">Periodo del estudio</w:t>
            </w:r>
          </w:p>
        </w:tc>
        <w:tc>
          <w:tcPr>
            <w:tcW w:type="dxa" w:w="6360"/>
            <w:tcBorders>
              <w:top w:val="single" w:color="808080" w:sz="4"/>
              <w:left w:val="single" w:color="808080" w:sz="4"/>
              <w:bottom w:val="single" w:color="808080" w:sz="4"/>
              <w:right w:val="single" w:color="808080" w:sz="4"/>
            </w:tcBorders>
            <w:tcMar>
              <w:top w:type="dxa" w:w="80"/>
              <w:left w:type="dxa" w:w="120"/>
              <w:bottom w:type="dxa" w:w="80"/>
              <w:right w:type="dxa" w:w="120"/>
            </w:tcMar>
          </w:tcPr>
          <w:p>
            <w:pPr>
              <w:jc w:val="left"/>
            </w:pPr>
            <w:r>
              <w:rPr>
                <w:b w:val="false"/>
                <w:bCs w:val="false"/>
                <w:color w:val="000000"/>
                <w:sz w:val="18"/>
                <w:szCs w:val="18"/>
              </w:rPr>
              <w:t xml:space="preserve">Mayo 2026 – Mayo 2027</w:t>
            </w:r>
          </w:p>
        </w:tc>
      </w:tr>
      <w:tr>
        <w:tc>
          <w:tcPr>
            <w:tcW w:type="dxa" w:w="3000"/>
            <w:tcBorders>
              <w:top w:val="single" w:color="808080" w:sz="4"/>
              <w:left w:val="single" w:color="808080" w:sz="4"/>
              <w:bottom w:val="single" w:color="808080" w:sz="4"/>
              <w:right w:val="single" w:color="808080" w:sz="4"/>
            </w:tcBorders>
            <w:shd w:fill="DBE5F1" w:val="clear"/>
            <w:tcMar>
              <w:top w:type="dxa" w:w="80"/>
              <w:left w:type="dxa" w:w="120"/>
              <w:bottom w:type="dxa" w:w="80"/>
              <w:right w:type="dxa" w:w="120"/>
            </w:tcMar>
          </w:tcPr>
          <w:p>
            <w:pPr>
              <w:jc w:val="left"/>
            </w:pPr>
            <w:r>
              <w:rPr>
                <w:b/>
                <w:bCs/>
                <w:color w:val="000000"/>
                <w:sz w:val="18"/>
                <w:szCs w:val="18"/>
              </w:rPr>
              <w:t xml:space="preserve">Fecha del preregistro</w:t>
            </w:r>
          </w:p>
        </w:tc>
        <w:tc>
          <w:tcPr>
            <w:tcW w:type="dxa" w:w="6360"/>
            <w:tcBorders>
              <w:top w:val="single" w:color="808080" w:sz="4"/>
              <w:left w:val="single" w:color="808080" w:sz="4"/>
              <w:bottom w:val="single" w:color="808080" w:sz="4"/>
              <w:right w:val="single" w:color="808080" w:sz="4"/>
            </w:tcBorders>
            <w:tcMar>
              <w:top w:type="dxa" w:w="80"/>
              <w:left w:type="dxa" w:w="120"/>
              <w:bottom w:type="dxa" w:w="80"/>
              <w:right w:type="dxa" w:w="120"/>
            </w:tcMar>
          </w:tcPr>
          <w:p>
            <w:pPr>
              <w:jc w:val="left"/>
            </w:pPr>
            <w:r>
              <w:rPr>
                <w:b w:val="false"/>
                <w:bCs w:val="false"/>
                <w:color w:val="000000"/>
                <w:sz w:val="18"/>
                <w:szCs w:val="18"/>
              </w:rPr>
              <w:t xml:space="preserve">Mayo 2026 (versión 1.0)</w:t>
            </w:r>
          </w:p>
        </w:tc>
      </w:tr>
      <w:tr>
        <w:tc>
          <w:tcPr>
            <w:tcW w:type="dxa" w:w="3000"/>
            <w:tcBorders>
              <w:top w:val="single" w:color="808080" w:sz="4"/>
              <w:left w:val="single" w:color="808080" w:sz="4"/>
              <w:bottom w:val="single" w:color="808080" w:sz="4"/>
              <w:right w:val="single" w:color="808080" w:sz="4"/>
            </w:tcBorders>
            <w:shd w:fill="DBE5F1" w:val="clear"/>
            <w:tcMar>
              <w:top w:type="dxa" w:w="80"/>
              <w:left w:type="dxa" w:w="120"/>
              <w:bottom w:type="dxa" w:w="80"/>
              <w:right w:type="dxa" w:w="120"/>
            </w:tcMar>
          </w:tcPr>
          <w:p>
            <w:pPr>
              <w:jc w:val="left"/>
            </w:pPr>
            <w:r>
              <w:rPr>
                <w:b/>
                <w:bCs/>
                <w:color w:val="000000"/>
                <w:sz w:val="18"/>
                <w:szCs w:val="18"/>
              </w:rPr>
              <w:t xml:space="preserve">Tipo de estudio</w:t>
            </w:r>
          </w:p>
        </w:tc>
        <w:tc>
          <w:tcPr>
            <w:tcW w:type="dxa" w:w="6360"/>
            <w:tcBorders>
              <w:top w:val="single" w:color="808080" w:sz="4"/>
              <w:left w:val="single" w:color="808080" w:sz="4"/>
              <w:bottom w:val="single" w:color="808080" w:sz="4"/>
              <w:right w:val="single" w:color="808080" w:sz="4"/>
            </w:tcBorders>
            <w:tcMar>
              <w:top w:type="dxa" w:w="80"/>
              <w:left w:type="dxa" w:w="120"/>
              <w:bottom w:type="dxa" w:w="80"/>
              <w:right w:type="dxa" w:w="120"/>
            </w:tcMar>
          </w:tcPr>
          <w:p>
            <w:pPr>
              <w:jc w:val="left"/>
            </w:pPr>
            <w:r>
              <w:rPr>
                <w:b w:val="false"/>
                <w:bCs w:val="false"/>
                <w:color w:val="000000"/>
                <w:sz w:val="18"/>
                <w:szCs w:val="18"/>
              </w:rPr>
              <w:t xml:space="preserve">Cuantitativo, experimental, comparativo, retrospectivo (datos secundarios)</w:t>
            </w:r>
          </w:p>
        </w:tc>
      </w:tr>
      <w:tr>
        <w:tc>
          <w:tcPr>
            <w:tcW w:type="dxa" w:w="3000"/>
            <w:tcBorders>
              <w:top w:val="single" w:color="808080" w:sz="4"/>
              <w:left w:val="single" w:color="808080" w:sz="4"/>
              <w:bottom w:val="single" w:color="808080" w:sz="4"/>
              <w:right w:val="single" w:color="808080" w:sz="4"/>
            </w:tcBorders>
            <w:shd w:fill="DBE5F1" w:val="clear"/>
            <w:tcMar>
              <w:top w:type="dxa" w:w="80"/>
              <w:left w:type="dxa" w:w="120"/>
              <w:bottom w:type="dxa" w:w="80"/>
              <w:right w:type="dxa" w:w="120"/>
            </w:tcMar>
          </w:tcPr>
          <w:p>
            <w:pPr>
              <w:jc w:val="left"/>
            </w:pPr>
            <w:r>
              <w:rPr>
                <w:b/>
                <w:bCs/>
                <w:color w:val="000000"/>
                <w:sz w:val="18"/>
                <w:szCs w:val="18"/>
              </w:rPr>
              <w:t xml:space="preserve">Datos</w:t>
            </w:r>
          </w:p>
        </w:tc>
        <w:tc>
          <w:tcPr>
            <w:tcW w:type="dxa" w:w="6360"/>
            <w:tcBorders>
              <w:top w:val="single" w:color="808080" w:sz="4"/>
              <w:left w:val="single" w:color="808080" w:sz="4"/>
              <w:bottom w:val="single" w:color="808080" w:sz="4"/>
              <w:right w:val="single" w:color="808080" w:sz="4"/>
            </w:tcBorders>
            <w:tcMar>
              <w:top w:type="dxa" w:w="80"/>
              <w:left w:type="dxa" w:w="120"/>
              <w:bottom w:type="dxa" w:w="80"/>
              <w:right w:type="dxa" w:w="120"/>
            </w:tcMar>
          </w:tcPr>
          <w:p>
            <w:pPr>
              <w:jc w:val="left"/>
            </w:pPr>
            <w:r>
              <w:rPr>
                <w:b w:val="false"/>
                <w:bCs w:val="false"/>
                <w:color w:val="000000"/>
                <w:sz w:val="18"/>
                <w:szCs w:val="18"/>
              </w:rPr>
              <w:t xml:space="preserve">MIMIC-IV v2.2+ (notas clínicas no estructuradas, vía PhysioNet); n2c2 2018 (dataset puente)</w:t>
            </w:r>
          </w:p>
        </w:tc>
      </w:tr>
      <w:tr>
        <w:tc>
          <w:tcPr>
            <w:tcW w:type="dxa" w:w="3000"/>
            <w:tcBorders>
              <w:top w:val="single" w:color="808080" w:sz="4"/>
              <w:left w:val="single" w:color="808080" w:sz="4"/>
              <w:bottom w:val="single" w:color="808080" w:sz="4"/>
              <w:right w:val="single" w:color="808080" w:sz="4"/>
            </w:tcBorders>
            <w:shd w:fill="DBE5F1" w:val="clear"/>
            <w:tcMar>
              <w:top w:type="dxa" w:w="80"/>
              <w:left w:type="dxa" w:w="120"/>
              <w:bottom w:type="dxa" w:w="80"/>
              <w:right w:type="dxa" w:w="120"/>
            </w:tcMar>
          </w:tcPr>
          <w:p>
            <w:pPr>
              <w:jc w:val="left"/>
            </w:pPr>
            <w:r>
              <w:rPr>
                <w:b/>
                <w:bCs/>
                <w:color w:val="000000"/>
                <w:sz w:val="18"/>
                <w:szCs w:val="18"/>
              </w:rPr>
              <w:t xml:space="preserve">Aprobaciones éticas</w:t>
            </w:r>
          </w:p>
        </w:tc>
        <w:tc>
          <w:tcPr>
            <w:tcW w:type="dxa" w:w="6360"/>
            <w:tcBorders>
              <w:top w:val="single" w:color="808080" w:sz="4"/>
              <w:left w:val="single" w:color="808080" w:sz="4"/>
              <w:bottom w:val="single" w:color="808080" w:sz="4"/>
              <w:right w:val="single" w:color="808080" w:sz="4"/>
            </w:tcBorders>
            <w:tcMar>
              <w:top w:type="dxa" w:w="80"/>
              <w:left w:type="dxa" w:w="120"/>
              <w:bottom w:type="dxa" w:w="80"/>
              <w:right w:type="dxa" w:w="120"/>
            </w:tcMar>
          </w:tcPr>
          <w:p>
            <w:pPr>
              <w:jc w:val="left"/>
            </w:pPr>
            <w:r>
              <w:rPr>
                <w:b w:val="false"/>
                <w:bCs w:val="false"/>
                <w:color w:val="000000"/>
                <w:sz w:val="18"/>
                <w:szCs w:val="18"/>
              </w:rPr>
              <w:t xml:space="preserve">PhysioNet Data Use Agreement; CITI Program Data or Specimens Only Research</w:t>
            </w:r>
          </w:p>
        </w:tc>
      </w:tr>
    </w:tbl>
    <w:p>
      <w:pPr>
        <w:pStyle w:val="Heading2"/>
        <w:spacing w:after="140" w:before="240"/>
      </w:pPr>
      <w:r>
        <w:rPr>
          <w:b/>
          <w:bCs/>
          <w:color w:val="2E74B5"/>
          <w:sz w:val="26"/>
          <w:szCs w:val="26"/>
        </w:rPr>
        <w:t xml:space="preserve">3.2 Hipótesis preregistradas</w:t>
      </w:r>
    </w:p>
    <w:p>
      <w:pPr>
        <w:spacing w:after="100" w:line="320"/>
        <w:jc w:val="both"/>
      </w:pPr>
      <w:r>
        <w:rPr>
          <w:b w:val="false"/>
          <w:bCs w:val="false"/>
          <w:i w:val="false"/>
          <w:iCs w:val="false"/>
          <w:sz w:val="22"/>
          <w:szCs w:val="22"/>
        </w:rPr>
        <w:t xml:space="preserve">H0 (nula): no existe diferencia significativa en concordancia (kappa de Cohen) entre el pipeline NLP+ML y la línea base de fórmula determinista de la Directiva GG-ESSALUD-2021 al clasificar el Nivel de Riesgo de eventos adversos.</w:t>
      </w:r>
    </w:p>
    <w:p>
      <w:pPr>
        <w:spacing w:after="100" w:line="320"/>
        <w:jc w:val="both"/>
      </w:pPr>
      <w:r>
        <w:rPr>
          <w:b w:val="false"/>
          <w:bCs w:val="false"/>
          <w:i w:val="false"/>
          <w:iCs w:val="false"/>
          <w:sz w:val="22"/>
          <w:szCs w:val="22"/>
        </w:rPr>
        <w:t xml:space="preserve">H1 (principal, causal): el pipeline integrado de NLP + ML supervisado supera la línea base determinista en al menos 0.20 puntos de kappa de Cohen (κ_pipeline ≥ 0.60 vs κ_baseline ≈ 0.40).</w:t>
      </w:r>
    </w:p>
    <w:p>
      <w:pPr>
        <w:spacing w:after="100" w:line="320"/>
        <w:jc w:val="both"/>
      </w:pPr>
      <w:r>
        <w:rPr>
          <w:b w:val="false"/>
          <w:bCs w:val="false"/>
          <w:i w:val="false"/>
          <w:iCs w:val="false"/>
          <w:sz w:val="22"/>
          <w:szCs w:val="22"/>
        </w:rPr>
        <w:t xml:space="preserve">H2 (secundaria, correlacional): existe relación significativa entre densidad léxica de las notas (TTR) y precisión del modelo (Spearman ρ ≥ 0.3, p &lt; 0.05).</w:t>
      </w:r>
    </w:p>
    <w:p>
      <w:pPr>
        <w:spacing w:after="100" w:line="320"/>
        <w:jc w:val="both"/>
      </w:pPr>
      <w:r>
        <w:rPr>
          <w:b w:val="false"/>
          <w:bCs w:val="false"/>
          <w:i w:val="false"/>
          <w:iCs w:val="false"/>
          <w:sz w:val="22"/>
          <w:szCs w:val="22"/>
        </w:rPr>
        <w:t xml:space="preserve">H3 (secundaria, descriptiva): la distribución del Nivel de Riesgo (Verde/Amarillo/Rojo) producida por el pipeline replica la del panel experto dentro de un margen ≤ 10 puntos porcentuales por categoría.</w:t>
      </w:r>
    </w:p>
    <w:p>
      <w:pPr>
        <w:pStyle w:val="Heading2"/>
        <w:spacing w:after="140" w:before="240"/>
      </w:pPr>
      <w:r>
        <w:rPr>
          <w:b/>
          <w:bCs/>
          <w:color w:val="2E74B5"/>
          <w:sz w:val="26"/>
          <w:szCs w:val="26"/>
        </w:rPr>
        <w:t xml:space="preserve">3.3 Variables preregistradas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000"/>
        <w:gridCol w:w="4560"/>
      </w:tblGrid>
      <w:tr>
        <w:trPr>
          <w:tblHeader/>
        </w:trPr>
        <w:tc>
          <w:tcPr>
            <w:tcW w:type="dxa" w:w="1800"/>
            <w:tcBorders>
              <w:top w:val="single" w:color="808080" w:sz="4"/>
              <w:left w:val="single" w:color="808080" w:sz="4"/>
              <w:bottom w:val="single" w:color="808080" w:sz="4"/>
              <w:right w:val="single" w:color="808080" w:sz="4"/>
            </w:tcBorders>
            <w:shd w:fill="1F3864" w:val="clear"/>
            <w:tcMar>
              <w:top w:type="dxa" w:w="80"/>
              <w:left w:type="dxa" w:w="120"/>
              <w:bottom w:type="dxa" w:w="80"/>
              <w:right w:type="dxa" w:w="120"/>
            </w:tcMar>
          </w:tcPr>
          <w:p>
            <w:pPr>
              <w:jc w:val="center"/>
            </w:pPr>
            <w:r>
              <w:rPr>
                <w:b/>
                <w:bCs/>
                <w:color w:val="FFFFFF"/>
                <w:sz w:val="18"/>
                <w:szCs w:val="18"/>
              </w:rPr>
              <w:t xml:space="preserve">Tipo</w:t>
            </w:r>
          </w:p>
        </w:tc>
        <w:tc>
          <w:tcPr>
            <w:tcW w:type="dxa" w:w="3000"/>
            <w:tcBorders>
              <w:top w:val="single" w:color="808080" w:sz="4"/>
              <w:left w:val="single" w:color="808080" w:sz="4"/>
              <w:bottom w:val="single" w:color="808080" w:sz="4"/>
              <w:right w:val="single" w:color="808080" w:sz="4"/>
            </w:tcBorders>
            <w:shd w:fill="1F3864" w:val="clear"/>
            <w:tcMar>
              <w:top w:type="dxa" w:w="80"/>
              <w:left w:type="dxa" w:w="120"/>
              <w:bottom w:type="dxa" w:w="80"/>
              <w:right w:type="dxa" w:w="120"/>
            </w:tcMar>
          </w:tcPr>
          <w:p>
            <w:pPr>
              <w:jc w:val="left"/>
            </w:pPr>
            <w:r>
              <w:rPr>
                <w:b/>
                <w:bCs/>
                <w:color w:val="FFFFFF"/>
                <w:sz w:val="18"/>
                <w:szCs w:val="18"/>
              </w:rPr>
              <w:t xml:space="preserve">Variable</w:t>
            </w:r>
          </w:p>
        </w:tc>
        <w:tc>
          <w:tcPr>
            <w:tcW w:type="dxa" w:w="4560"/>
            <w:tcBorders>
              <w:top w:val="single" w:color="808080" w:sz="4"/>
              <w:left w:val="single" w:color="808080" w:sz="4"/>
              <w:bottom w:val="single" w:color="808080" w:sz="4"/>
              <w:right w:val="single" w:color="808080" w:sz="4"/>
            </w:tcBorders>
            <w:shd w:fill="1F3864" w:val="clear"/>
            <w:tcMar>
              <w:top w:type="dxa" w:w="80"/>
              <w:left w:type="dxa" w:w="120"/>
              <w:bottom w:type="dxa" w:w="80"/>
              <w:right w:type="dxa" w:w="120"/>
            </w:tcMar>
          </w:tcPr>
          <w:p>
            <w:pPr>
              <w:jc w:val="left"/>
            </w:pPr>
            <w:r>
              <w:rPr>
                <w:b/>
                <w:bCs/>
                <w:color w:val="FFFFFF"/>
                <w:sz w:val="18"/>
                <w:szCs w:val="18"/>
              </w:rPr>
              <w:t xml:space="preserve">Operacionalización</w:t>
            </w:r>
          </w:p>
        </w:tc>
      </w:tr>
      <w:tr>
        <w:tc>
          <w:tcPr>
            <w:tcW w:type="dxa" w:w="1800"/>
            <w:tcBorders>
              <w:top w:val="single" w:color="808080" w:sz="4"/>
              <w:left w:val="single" w:color="808080" w:sz="4"/>
              <w:bottom w:val="single" w:color="808080" w:sz="4"/>
              <w:right w:val="single" w:color="808080" w:sz="4"/>
            </w:tcBorders>
            <w:tcMar>
              <w:top w:type="dxa" w:w="80"/>
              <w:left w:type="dxa" w:w="120"/>
              <w:bottom w:type="dxa" w:w="80"/>
              <w:right w:type="dxa" w:w="120"/>
            </w:tcMar>
          </w:tcPr>
          <w:p>
            <w:pPr>
              <w:jc w:val="left"/>
            </w:pPr>
            <w:r>
              <w:rPr>
                <w:b w:val="false"/>
                <w:bCs w:val="false"/>
                <w:color w:val="000000"/>
                <w:sz w:val="18"/>
                <w:szCs w:val="18"/>
              </w:rPr>
              <w:t xml:space="preserve">Independiente</w:t>
            </w:r>
          </w:p>
        </w:tc>
        <w:tc>
          <w:tcPr>
            <w:tcW w:type="dxa" w:w="3000"/>
            <w:tcBorders>
              <w:top w:val="single" w:color="808080" w:sz="4"/>
              <w:left w:val="single" w:color="808080" w:sz="4"/>
              <w:bottom w:val="single" w:color="808080" w:sz="4"/>
              <w:right w:val="single" w:color="808080" w:sz="4"/>
            </w:tcBorders>
            <w:tcMar>
              <w:top w:type="dxa" w:w="80"/>
              <w:left w:type="dxa" w:w="120"/>
              <w:bottom w:type="dxa" w:w="80"/>
              <w:right w:type="dxa" w:w="120"/>
            </w:tcMar>
          </w:tcPr>
          <w:p>
            <w:pPr>
              <w:jc w:val="left"/>
            </w:pPr>
            <w:r>
              <w:rPr>
                <w:b w:val="false"/>
                <w:bCs w:val="false"/>
                <w:color w:val="000000"/>
                <w:sz w:val="18"/>
                <w:szCs w:val="18"/>
              </w:rPr>
              <w:t xml:space="preserve">Algoritmo de NLP</w:t>
            </w:r>
          </w:p>
        </w:tc>
        <w:tc>
          <w:tcPr>
            <w:tcW w:type="dxa" w:w="4560"/>
            <w:tcBorders>
              <w:top w:val="single" w:color="808080" w:sz="4"/>
              <w:left w:val="single" w:color="808080" w:sz="4"/>
              <w:bottom w:val="single" w:color="808080" w:sz="4"/>
              <w:right w:val="single" w:color="808080" w:sz="4"/>
            </w:tcBorders>
            <w:tcMar>
              <w:top w:type="dxa" w:w="80"/>
              <w:left w:type="dxa" w:w="120"/>
              <w:bottom w:type="dxa" w:w="80"/>
              <w:right w:type="dxa" w:w="120"/>
            </w:tcMar>
          </w:tcPr>
          <w:p>
            <w:pPr>
              <w:jc w:val="left"/>
            </w:pPr>
            <w:r>
              <w:rPr>
                <w:b w:val="false"/>
                <w:bCs w:val="false"/>
                <w:color w:val="000000"/>
                <w:sz w:val="18"/>
                <w:szCs w:val="18"/>
              </w:rPr>
              <w:t xml:space="preserve">Categórica: {BioBERT, ClinicalBERT, DistilBERT, Logistic Regression baseline}</w:t>
            </w:r>
          </w:p>
        </w:tc>
      </w:tr>
      <w:tr>
        <w:tc>
          <w:tcPr>
            <w:tcW w:type="dxa" w:w="1800"/>
            <w:tcBorders>
              <w:top w:val="single" w:color="808080" w:sz="4"/>
              <w:left w:val="single" w:color="808080" w:sz="4"/>
              <w:bottom w:val="single" w:color="808080" w:sz="4"/>
              <w:right w:val="single" w:color="808080" w:sz="4"/>
            </w:tcBorders>
            <w:tcMar>
              <w:top w:type="dxa" w:w="80"/>
              <w:left w:type="dxa" w:w="120"/>
              <w:bottom w:type="dxa" w:w="80"/>
              <w:right w:type="dxa" w:w="120"/>
            </w:tcMar>
          </w:tcPr>
          <w:p>
            <w:pPr>
              <w:jc w:val="left"/>
            </w:pPr>
            <w:r>
              <w:rPr>
                <w:b w:val="false"/>
                <w:bCs w:val="false"/>
                <w:color w:val="000000"/>
                <w:sz w:val="18"/>
                <w:szCs w:val="18"/>
              </w:rPr>
              <w:t xml:space="preserve">Independiente</w:t>
            </w:r>
          </w:p>
        </w:tc>
        <w:tc>
          <w:tcPr>
            <w:tcW w:type="dxa" w:w="3000"/>
            <w:tcBorders>
              <w:top w:val="single" w:color="808080" w:sz="4"/>
              <w:left w:val="single" w:color="808080" w:sz="4"/>
              <w:bottom w:val="single" w:color="808080" w:sz="4"/>
              <w:right w:val="single" w:color="808080" w:sz="4"/>
            </w:tcBorders>
            <w:tcMar>
              <w:top w:type="dxa" w:w="80"/>
              <w:left w:type="dxa" w:w="120"/>
              <w:bottom w:type="dxa" w:w="80"/>
              <w:right w:type="dxa" w:w="120"/>
            </w:tcMar>
          </w:tcPr>
          <w:p>
            <w:pPr>
              <w:jc w:val="left"/>
            </w:pPr>
            <w:r>
              <w:rPr>
                <w:b w:val="false"/>
                <w:bCs w:val="false"/>
                <w:color w:val="000000"/>
                <w:sz w:val="18"/>
                <w:szCs w:val="18"/>
              </w:rPr>
              <w:t xml:space="preserve">Tipo de tarea</w:t>
            </w:r>
          </w:p>
        </w:tc>
        <w:tc>
          <w:tcPr>
            <w:tcW w:type="dxa" w:w="4560"/>
            <w:tcBorders>
              <w:top w:val="single" w:color="808080" w:sz="4"/>
              <w:left w:val="single" w:color="808080" w:sz="4"/>
              <w:bottom w:val="single" w:color="808080" w:sz="4"/>
              <w:right w:val="single" w:color="808080" w:sz="4"/>
            </w:tcBorders>
            <w:tcMar>
              <w:top w:type="dxa" w:w="80"/>
              <w:left w:type="dxa" w:w="120"/>
              <w:bottom w:type="dxa" w:w="80"/>
              <w:right w:type="dxa" w:w="120"/>
            </w:tcMar>
          </w:tcPr>
          <w:p>
            <w:pPr>
              <w:jc w:val="left"/>
            </w:pPr>
            <w:r>
              <w:rPr>
                <w:b w:val="false"/>
                <w:bCs w:val="false"/>
                <w:color w:val="000000"/>
                <w:sz w:val="18"/>
                <w:szCs w:val="18"/>
              </w:rPr>
              <w:t xml:space="preserve">Categórica: {NER de eventos, clasificación multiclase de naturaleza, regresión de Impacto, clasificación ordinal de Nivel de Riesgo}</w:t>
            </w:r>
          </w:p>
        </w:tc>
      </w:tr>
      <w:tr>
        <w:tc>
          <w:tcPr>
            <w:tcW w:type="dxa" w:w="1800"/>
            <w:tcBorders>
              <w:top w:val="single" w:color="808080" w:sz="4"/>
              <w:left w:val="single" w:color="808080" w:sz="4"/>
              <w:bottom w:val="single" w:color="808080" w:sz="4"/>
              <w:right w:val="single" w:color="808080" w:sz="4"/>
            </w:tcBorders>
            <w:shd w:fill="FFE699" w:val="clear"/>
            <w:tcMar>
              <w:top w:type="dxa" w:w="80"/>
              <w:left w:type="dxa" w:w="120"/>
              <w:bottom w:type="dxa" w:w="80"/>
              <w:right w:type="dxa" w:w="120"/>
            </w:tcMar>
          </w:tcPr>
          <w:p>
            <w:pPr>
              <w:jc w:val="left"/>
            </w:pPr>
            <w:r>
              <w:rPr>
                <w:b/>
                <w:bCs/>
                <w:color w:val="000000"/>
                <w:sz w:val="18"/>
                <w:szCs w:val="18"/>
              </w:rPr>
              <w:t xml:space="preserve">Dependiente</w:t>
            </w:r>
          </w:p>
        </w:tc>
        <w:tc>
          <w:tcPr>
            <w:tcW w:type="dxa" w:w="3000"/>
            <w:tcBorders>
              <w:top w:val="single" w:color="808080" w:sz="4"/>
              <w:left w:val="single" w:color="808080" w:sz="4"/>
              <w:bottom w:val="single" w:color="808080" w:sz="4"/>
              <w:right w:val="single" w:color="808080" w:sz="4"/>
            </w:tcBorders>
            <w:shd w:fill="FFFCE5" w:val="clear"/>
            <w:tcMar>
              <w:top w:type="dxa" w:w="80"/>
              <w:left w:type="dxa" w:w="120"/>
              <w:bottom w:type="dxa" w:w="80"/>
              <w:right w:type="dxa" w:w="120"/>
            </w:tcMar>
          </w:tcPr>
          <w:p>
            <w:pPr>
              <w:jc w:val="left"/>
            </w:pPr>
            <w:r>
              <w:rPr>
                <w:b w:val="false"/>
                <w:bCs w:val="false"/>
                <w:color w:val="000000"/>
                <w:sz w:val="18"/>
                <w:szCs w:val="18"/>
              </w:rPr>
              <w:t xml:space="preserve">Concordancia kappa de Cohen</w:t>
            </w:r>
          </w:p>
        </w:tc>
        <w:tc>
          <w:tcPr>
            <w:tcW w:type="dxa" w:w="4560"/>
            <w:tcBorders>
              <w:top w:val="single" w:color="808080" w:sz="4"/>
              <w:left w:val="single" w:color="808080" w:sz="4"/>
              <w:bottom w:val="single" w:color="808080" w:sz="4"/>
              <w:right w:val="single" w:color="808080" w:sz="4"/>
            </w:tcBorders>
            <w:shd w:fill="FFFCE5" w:val="clear"/>
            <w:tcMar>
              <w:top w:type="dxa" w:w="80"/>
              <w:left w:type="dxa" w:w="120"/>
              <w:bottom w:type="dxa" w:w="80"/>
              <w:right w:type="dxa" w:w="120"/>
            </w:tcMar>
          </w:tcPr>
          <w:p>
            <w:pPr>
              <w:jc w:val="left"/>
            </w:pPr>
            <w:r>
              <w:rPr>
                <w:b w:val="false"/>
                <w:bCs w:val="false"/>
                <w:color w:val="000000"/>
                <w:sz w:val="18"/>
                <w:szCs w:val="18"/>
              </w:rPr>
              <w:t xml:space="preserve">κ entre clasificación pipeline vs panel experto sobre 200 notas estratificadas</w:t>
            </w:r>
          </w:p>
        </w:tc>
      </w:tr>
      <w:tr>
        <w:tc>
          <w:tcPr>
            <w:tcW w:type="dxa" w:w="1800"/>
            <w:tcBorders>
              <w:top w:val="single" w:color="808080" w:sz="4"/>
              <w:left w:val="single" w:color="808080" w:sz="4"/>
              <w:bottom w:val="single" w:color="808080" w:sz="4"/>
              <w:right w:val="single" w:color="808080" w:sz="4"/>
            </w:tcBorders>
            <w:shd w:fill="FFE699" w:val="clear"/>
            <w:tcMar>
              <w:top w:type="dxa" w:w="80"/>
              <w:left w:type="dxa" w:w="120"/>
              <w:bottom w:type="dxa" w:w="80"/>
              <w:right w:type="dxa" w:w="120"/>
            </w:tcMar>
          </w:tcPr>
          <w:p>
            <w:pPr>
              <w:jc w:val="left"/>
            </w:pPr>
            <w:r>
              <w:rPr>
                <w:b/>
                <w:bCs/>
                <w:color w:val="000000"/>
                <w:sz w:val="18"/>
                <w:szCs w:val="18"/>
              </w:rPr>
              <w:t xml:space="preserve">Dependiente</w:t>
            </w:r>
          </w:p>
        </w:tc>
        <w:tc>
          <w:tcPr>
            <w:tcW w:type="dxa" w:w="3000"/>
            <w:tcBorders>
              <w:top w:val="single" w:color="808080" w:sz="4"/>
              <w:left w:val="single" w:color="808080" w:sz="4"/>
              <w:bottom w:val="single" w:color="808080" w:sz="4"/>
              <w:right w:val="single" w:color="808080" w:sz="4"/>
            </w:tcBorders>
            <w:shd w:fill="FFFCE5" w:val="clear"/>
            <w:tcMar>
              <w:top w:type="dxa" w:w="80"/>
              <w:left w:type="dxa" w:w="120"/>
              <w:bottom w:type="dxa" w:w="80"/>
              <w:right w:type="dxa" w:w="120"/>
            </w:tcMar>
          </w:tcPr>
          <w:p>
            <w:pPr>
              <w:jc w:val="left"/>
            </w:pPr>
            <w:r>
              <w:rPr>
                <w:b w:val="false"/>
                <w:bCs w:val="false"/>
                <w:color w:val="000000"/>
                <w:sz w:val="18"/>
                <w:szCs w:val="18"/>
              </w:rPr>
              <w:t xml:space="preserve">F1 ponderado</w:t>
            </w:r>
          </w:p>
        </w:tc>
        <w:tc>
          <w:tcPr>
            <w:tcW w:type="dxa" w:w="4560"/>
            <w:tcBorders>
              <w:top w:val="single" w:color="808080" w:sz="4"/>
              <w:left w:val="single" w:color="808080" w:sz="4"/>
              <w:bottom w:val="single" w:color="808080" w:sz="4"/>
              <w:right w:val="single" w:color="808080" w:sz="4"/>
            </w:tcBorders>
            <w:shd w:fill="FFFCE5" w:val="clear"/>
            <w:tcMar>
              <w:top w:type="dxa" w:w="80"/>
              <w:left w:type="dxa" w:w="120"/>
              <w:bottom w:type="dxa" w:w="80"/>
              <w:right w:type="dxa" w:w="120"/>
            </w:tcMar>
          </w:tcPr>
          <w:p>
            <w:pPr>
              <w:jc w:val="left"/>
            </w:pPr>
            <w:r>
              <w:rPr>
                <w:b w:val="false"/>
                <w:bCs w:val="false"/>
                <w:color w:val="000000"/>
                <w:sz w:val="18"/>
                <w:szCs w:val="18"/>
              </w:rPr>
              <w:t xml:space="preserve">F1 macro y weighted sobre clasificación de naturaleza del evento</w:t>
            </w:r>
          </w:p>
        </w:tc>
      </w:tr>
      <w:tr>
        <w:tc>
          <w:tcPr>
            <w:tcW w:type="dxa" w:w="1800"/>
            <w:tcBorders>
              <w:top w:val="single" w:color="808080" w:sz="4"/>
              <w:left w:val="single" w:color="808080" w:sz="4"/>
              <w:bottom w:val="single" w:color="808080" w:sz="4"/>
              <w:right w:val="single" w:color="808080" w:sz="4"/>
            </w:tcBorders>
            <w:shd w:fill="FFE699" w:val="clear"/>
            <w:tcMar>
              <w:top w:type="dxa" w:w="80"/>
              <w:left w:type="dxa" w:w="120"/>
              <w:bottom w:type="dxa" w:w="80"/>
              <w:right w:type="dxa" w:w="120"/>
            </w:tcMar>
          </w:tcPr>
          <w:p>
            <w:pPr>
              <w:jc w:val="left"/>
            </w:pPr>
            <w:r>
              <w:rPr>
                <w:b/>
                <w:bCs/>
                <w:color w:val="000000"/>
                <w:sz w:val="18"/>
                <w:szCs w:val="18"/>
              </w:rPr>
              <w:t xml:space="preserve">Dependiente</w:t>
            </w:r>
          </w:p>
        </w:tc>
        <w:tc>
          <w:tcPr>
            <w:tcW w:type="dxa" w:w="3000"/>
            <w:tcBorders>
              <w:top w:val="single" w:color="808080" w:sz="4"/>
              <w:left w:val="single" w:color="808080" w:sz="4"/>
              <w:bottom w:val="single" w:color="808080" w:sz="4"/>
              <w:right w:val="single" w:color="808080" w:sz="4"/>
            </w:tcBorders>
            <w:shd w:fill="FFFCE5" w:val="clear"/>
            <w:tcMar>
              <w:top w:type="dxa" w:w="80"/>
              <w:left w:type="dxa" w:w="120"/>
              <w:bottom w:type="dxa" w:w="80"/>
              <w:right w:type="dxa" w:w="120"/>
            </w:tcMar>
          </w:tcPr>
          <w:p>
            <w:pPr>
              <w:jc w:val="left"/>
            </w:pPr>
            <w:r>
              <w:rPr>
                <w:b w:val="false"/>
                <w:bCs w:val="false"/>
                <w:color w:val="000000"/>
                <w:sz w:val="18"/>
                <w:szCs w:val="18"/>
              </w:rPr>
              <w:t xml:space="preserve">AUC-ROC</w:t>
            </w:r>
          </w:p>
        </w:tc>
        <w:tc>
          <w:tcPr>
            <w:tcW w:type="dxa" w:w="4560"/>
            <w:tcBorders>
              <w:top w:val="single" w:color="808080" w:sz="4"/>
              <w:left w:val="single" w:color="808080" w:sz="4"/>
              <w:bottom w:val="single" w:color="808080" w:sz="4"/>
              <w:right w:val="single" w:color="808080" w:sz="4"/>
            </w:tcBorders>
            <w:shd w:fill="FFFCE5" w:val="clear"/>
            <w:tcMar>
              <w:top w:type="dxa" w:w="80"/>
              <w:left w:type="dxa" w:w="120"/>
              <w:bottom w:type="dxa" w:w="80"/>
              <w:right w:type="dxa" w:w="120"/>
            </w:tcMar>
          </w:tcPr>
          <w:p>
            <w:pPr>
              <w:jc w:val="left"/>
            </w:pPr>
            <w:r>
              <w:rPr>
                <w:b w:val="false"/>
                <w:bCs w:val="false"/>
                <w:color w:val="000000"/>
                <w:sz w:val="18"/>
                <w:szCs w:val="18"/>
              </w:rPr>
              <w:t xml:space="preserve">Área bajo curva ROC para detección binaria de evento adverso (sí/no)</w:t>
            </w:r>
          </w:p>
        </w:tc>
      </w:tr>
      <w:tr>
        <w:tc>
          <w:tcPr>
            <w:tcW w:type="dxa" w:w="1800"/>
            <w:tcBorders>
              <w:top w:val="single" w:color="808080" w:sz="4"/>
              <w:left w:val="single" w:color="808080" w:sz="4"/>
              <w:bottom w:val="single" w:color="808080" w:sz="4"/>
              <w:right w:val="single" w:color="808080" w:sz="4"/>
            </w:tcBorders>
            <w:tcMar>
              <w:top w:type="dxa" w:w="80"/>
              <w:left w:type="dxa" w:w="120"/>
              <w:bottom w:type="dxa" w:w="80"/>
              <w:right w:type="dxa" w:w="120"/>
            </w:tcMar>
          </w:tcPr>
          <w:p>
            <w:pPr>
              <w:jc w:val="left"/>
            </w:pPr>
            <w:r>
              <w:rPr>
                <w:b w:val="false"/>
                <w:bCs w:val="false"/>
                <w:color w:val="000000"/>
                <w:sz w:val="18"/>
                <w:szCs w:val="18"/>
              </w:rPr>
              <w:t xml:space="preserve">Control</w:t>
            </w:r>
          </w:p>
        </w:tc>
        <w:tc>
          <w:tcPr>
            <w:tcW w:type="dxa" w:w="3000"/>
            <w:tcBorders>
              <w:top w:val="single" w:color="808080" w:sz="4"/>
              <w:left w:val="single" w:color="808080" w:sz="4"/>
              <w:bottom w:val="single" w:color="808080" w:sz="4"/>
              <w:right w:val="single" w:color="808080" w:sz="4"/>
            </w:tcBorders>
            <w:tcMar>
              <w:top w:type="dxa" w:w="80"/>
              <w:left w:type="dxa" w:w="120"/>
              <w:bottom w:type="dxa" w:w="80"/>
              <w:right w:type="dxa" w:w="120"/>
            </w:tcMar>
          </w:tcPr>
          <w:p>
            <w:pPr>
              <w:jc w:val="left"/>
            </w:pPr>
            <w:r>
              <w:rPr>
                <w:b w:val="false"/>
                <w:bCs w:val="false"/>
                <w:color w:val="000000"/>
                <w:sz w:val="18"/>
                <w:szCs w:val="18"/>
              </w:rPr>
              <w:t xml:space="preserve">Longitud de nota</w:t>
            </w:r>
          </w:p>
        </w:tc>
        <w:tc>
          <w:tcPr>
            <w:tcW w:type="dxa" w:w="4560"/>
            <w:tcBorders>
              <w:top w:val="single" w:color="808080" w:sz="4"/>
              <w:left w:val="single" w:color="808080" w:sz="4"/>
              <w:bottom w:val="single" w:color="808080" w:sz="4"/>
              <w:right w:val="single" w:color="808080" w:sz="4"/>
            </w:tcBorders>
            <w:tcMar>
              <w:top w:type="dxa" w:w="80"/>
              <w:left w:type="dxa" w:w="120"/>
              <w:bottom w:type="dxa" w:w="80"/>
              <w:right w:type="dxa" w:w="120"/>
            </w:tcMar>
          </w:tcPr>
          <w:p>
            <w:pPr>
              <w:jc w:val="left"/>
            </w:pPr>
            <w:r>
              <w:rPr>
                <w:b w:val="false"/>
                <w:bCs w:val="false"/>
                <w:color w:val="000000"/>
                <w:sz w:val="18"/>
                <w:szCs w:val="18"/>
              </w:rPr>
              <w:t xml:space="preserve">Tokens/nota; estratificación en cuartiles</w:t>
            </w:r>
          </w:p>
        </w:tc>
      </w:tr>
      <w:tr>
        <w:tc>
          <w:tcPr>
            <w:tcW w:type="dxa" w:w="1800"/>
            <w:tcBorders>
              <w:top w:val="single" w:color="808080" w:sz="4"/>
              <w:left w:val="single" w:color="808080" w:sz="4"/>
              <w:bottom w:val="single" w:color="808080" w:sz="4"/>
              <w:right w:val="single" w:color="808080" w:sz="4"/>
            </w:tcBorders>
            <w:tcMar>
              <w:top w:type="dxa" w:w="80"/>
              <w:left w:type="dxa" w:w="120"/>
              <w:bottom w:type="dxa" w:w="80"/>
              <w:right w:type="dxa" w:w="120"/>
            </w:tcMar>
          </w:tcPr>
          <w:p>
            <w:pPr>
              <w:jc w:val="left"/>
            </w:pPr>
            <w:r>
              <w:rPr>
                <w:b w:val="false"/>
                <w:bCs w:val="false"/>
                <w:color w:val="000000"/>
                <w:sz w:val="18"/>
                <w:szCs w:val="18"/>
              </w:rPr>
              <w:t xml:space="preserve">Control</w:t>
            </w:r>
          </w:p>
        </w:tc>
        <w:tc>
          <w:tcPr>
            <w:tcW w:type="dxa" w:w="3000"/>
            <w:tcBorders>
              <w:top w:val="single" w:color="808080" w:sz="4"/>
              <w:left w:val="single" w:color="808080" w:sz="4"/>
              <w:bottom w:val="single" w:color="808080" w:sz="4"/>
              <w:right w:val="single" w:color="808080" w:sz="4"/>
            </w:tcBorders>
            <w:tcMar>
              <w:top w:type="dxa" w:w="80"/>
              <w:left w:type="dxa" w:w="120"/>
              <w:bottom w:type="dxa" w:w="80"/>
              <w:right w:type="dxa" w:w="120"/>
            </w:tcMar>
          </w:tcPr>
          <w:p>
            <w:pPr>
              <w:jc w:val="left"/>
            </w:pPr>
            <w:r>
              <w:rPr>
                <w:b w:val="false"/>
                <w:bCs w:val="false"/>
                <w:color w:val="000000"/>
                <w:sz w:val="18"/>
                <w:szCs w:val="18"/>
              </w:rPr>
              <w:t xml:space="preserve">Tipo de servicio</w:t>
            </w:r>
          </w:p>
        </w:tc>
        <w:tc>
          <w:tcPr>
            <w:tcW w:type="dxa" w:w="4560"/>
            <w:tcBorders>
              <w:top w:val="single" w:color="808080" w:sz="4"/>
              <w:left w:val="single" w:color="808080" w:sz="4"/>
              <w:bottom w:val="single" w:color="808080" w:sz="4"/>
              <w:right w:val="single" w:color="808080" w:sz="4"/>
            </w:tcBorders>
            <w:tcMar>
              <w:top w:type="dxa" w:w="80"/>
              <w:left w:type="dxa" w:w="120"/>
              <w:bottom w:type="dxa" w:w="80"/>
              <w:right w:type="dxa" w:w="120"/>
            </w:tcMar>
          </w:tcPr>
          <w:p>
            <w:pPr>
              <w:jc w:val="left"/>
            </w:pPr>
            <w:r>
              <w:rPr>
                <w:b w:val="false"/>
                <w:bCs w:val="false"/>
                <w:color w:val="000000"/>
                <w:sz w:val="18"/>
                <w:szCs w:val="18"/>
              </w:rPr>
              <w:t xml:space="preserve">ICU vs ED vs hospitalización general (de MIMIC-IV)</w:t>
            </w:r>
          </w:p>
        </w:tc>
      </w:tr>
      <w:tr>
        <w:tc>
          <w:tcPr>
            <w:tcW w:type="dxa" w:w="1800"/>
            <w:tcBorders>
              <w:top w:val="single" w:color="808080" w:sz="4"/>
              <w:left w:val="single" w:color="808080" w:sz="4"/>
              <w:bottom w:val="single" w:color="808080" w:sz="4"/>
              <w:right w:val="single" w:color="808080" w:sz="4"/>
            </w:tcBorders>
            <w:tcMar>
              <w:top w:type="dxa" w:w="80"/>
              <w:left w:type="dxa" w:w="120"/>
              <w:bottom w:type="dxa" w:w="80"/>
              <w:right w:type="dxa" w:w="120"/>
            </w:tcMar>
          </w:tcPr>
          <w:p>
            <w:pPr>
              <w:jc w:val="left"/>
            </w:pPr>
            <w:r>
              <w:rPr>
                <w:b w:val="false"/>
                <w:bCs w:val="false"/>
                <w:color w:val="000000"/>
                <w:sz w:val="18"/>
                <w:szCs w:val="18"/>
              </w:rPr>
              <w:t xml:space="preserve">Mediadora</w:t>
            </w:r>
          </w:p>
        </w:tc>
        <w:tc>
          <w:tcPr>
            <w:tcW w:type="dxa" w:w="3000"/>
            <w:tcBorders>
              <w:top w:val="single" w:color="808080" w:sz="4"/>
              <w:left w:val="single" w:color="808080" w:sz="4"/>
              <w:bottom w:val="single" w:color="808080" w:sz="4"/>
              <w:right w:val="single" w:color="808080" w:sz="4"/>
            </w:tcBorders>
            <w:tcMar>
              <w:top w:type="dxa" w:w="80"/>
              <w:left w:type="dxa" w:w="120"/>
              <w:bottom w:type="dxa" w:w="80"/>
              <w:right w:type="dxa" w:w="120"/>
            </w:tcMar>
          </w:tcPr>
          <w:p>
            <w:pPr>
              <w:jc w:val="left"/>
            </w:pPr>
            <w:r>
              <w:rPr>
                <w:b w:val="false"/>
                <w:bCs w:val="false"/>
                <w:color w:val="000000"/>
                <w:sz w:val="18"/>
                <w:szCs w:val="18"/>
              </w:rPr>
              <w:t xml:space="preserve">Densidad léxica (TTR)</w:t>
            </w:r>
          </w:p>
        </w:tc>
        <w:tc>
          <w:tcPr>
            <w:tcW w:type="dxa" w:w="4560"/>
            <w:tcBorders>
              <w:top w:val="single" w:color="808080" w:sz="4"/>
              <w:left w:val="single" w:color="808080" w:sz="4"/>
              <w:bottom w:val="single" w:color="808080" w:sz="4"/>
              <w:right w:val="single" w:color="808080" w:sz="4"/>
            </w:tcBorders>
            <w:tcMar>
              <w:top w:type="dxa" w:w="80"/>
              <w:left w:type="dxa" w:w="120"/>
              <w:bottom w:type="dxa" w:w="80"/>
              <w:right w:type="dxa" w:w="120"/>
            </w:tcMar>
          </w:tcPr>
          <w:p>
            <w:pPr>
              <w:jc w:val="left"/>
            </w:pPr>
            <w:r>
              <w:rPr>
                <w:b w:val="false"/>
                <w:bCs w:val="false"/>
                <w:color w:val="000000"/>
                <w:sz w:val="18"/>
                <w:szCs w:val="18"/>
              </w:rPr>
              <w:t xml:space="preserve">Type-Token Ratio sobre la nota</w:t>
            </w:r>
          </w:p>
        </w:tc>
      </w:tr>
    </w:tbl>
    <w:p>
      <w:pPr>
        <w:pStyle w:val="Heading2"/>
        <w:spacing w:after="140" w:before="240"/>
      </w:pPr>
      <w:r>
        <w:rPr>
          <w:b/>
          <w:bCs/>
          <w:color w:val="2E74B5"/>
          <w:sz w:val="26"/>
          <w:szCs w:val="26"/>
        </w:rPr>
        <w:t xml:space="preserve">3.4 Tamaño muestral y poder</w:t>
      </w:r>
    </w:p>
    <w:p>
      <w:pPr>
        <w:spacing w:after="100" w:line="320"/>
        <w:jc w:val="both"/>
      </w:pPr>
      <w:r>
        <w:rPr>
          <w:b w:val="false"/>
          <w:bCs w:val="false"/>
          <w:i w:val="false"/>
          <w:iCs w:val="false"/>
          <w:sz w:val="22"/>
          <w:szCs w:val="22"/>
        </w:rPr>
        <w:t xml:space="preserve">Muestra de entrenamiento: ~5 000 notas estratificadas de MIMIC-IV (60% train, 20% val, 20% test). Muestra de validación con panel experto: 200 notas (estratificadas por nivel de riesgo esperado: 60 verde, 80 amarillo, 60 rojo).</w:t>
      </w:r>
    </w:p>
    <w:p>
      <w:pPr>
        <w:spacing w:after="100" w:line="320"/>
        <w:jc w:val="both"/>
      </w:pPr>
      <w:r>
        <w:rPr>
          <w:b w:val="false"/>
          <w:bCs w:val="false"/>
          <w:i w:val="false"/>
          <w:iCs w:val="false"/>
          <w:sz w:val="22"/>
          <w:szCs w:val="22"/>
        </w:rPr>
        <w:t xml:space="preserve">Cálculo de poder (kappa de Cohen): para detectar Δκ = 0.20 entre dos métodos, con n=200 y α=0.05, se obtiene poder ≈ 0.85 según el método de Donner &amp; Eliasziw. Suficiente.</w:t>
      </w:r>
    </w:p>
    <w:p>
      <w:pPr>
        <w:pStyle w:val="Heading2"/>
        <w:spacing w:after="140" w:before="240"/>
      </w:pPr>
      <w:r>
        <w:rPr>
          <w:b/>
          <w:bCs/>
          <w:color w:val="2E74B5"/>
          <w:sz w:val="26"/>
          <w:szCs w:val="26"/>
        </w:rPr>
        <w:t xml:space="preserve">3.5 Plan analítico preregistrado</w:t>
      </w:r>
    </w:p>
    <w:p>
      <w:pPr>
        <w:pStyle w:val="ListParagraph"/>
        <w:numPr>
          <w:ilvl w:val="0"/>
          <w:numId w:val="2"/>
        </w:numPr>
        <w:spacing w:after="60" w:line="300"/>
      </w:pPr>
      <w:r>
        <w:rPr>
          <w:sz w:val="22"/>
          <w:szCs w:val="22"/>
        </w:rPr>
        <w:t xml:space="preserve">Preprocesamiento: anonimización adicional (validación de deidentificación MIMIC), normalización de texto, segmentación oracional con scispaCy.</w:t>
      </w:r>
    </w:p>
    <w:p>
      <w:pPr>
        <w:pStyle w:val="ListParagraph"/>
        <w:numPr>
          <w:ilvl w:val="0"/>
          <w:numId w:val="2"/>
        </w:numPr>
        <w:spacing w:after="60" w:line="300"/>
      </w:pPr>
      <w:r>
        <w:rPr>
          <w:sz w:val="22"/>
          <w:szCs w:val="22"/>
        </w:rPr>
        <w:t xml:space="preserve">Etiquetado: weak supervision con heurísticas Snorkel para labels iniciales; validación manual de 300 notas para ground truth.</w:t>
      </w:r>
    </w:p>
    <w:p>
      <w:pPr>
        <w:pStyle w:val="ListParagraph"/>
        <w:numPr>
          <w:ilvl w:val="0"/>
          <w:numId w:val="2"/>
        </w:numPr>
        <w:spacing w:after="60" w:line="300"/>
      </w:pPr>
      <w:r>
        <w:rPr>
          <w:sz w:val="22"/>
          <w:szCs w:val="22"/>
        </w:rPr>
        <w:t xml:space="preserve">Entrenamiento: fine-tuning de BioBERT y ClinicalBERT con 3 épocas, learning rate 2e-5, batch size 16, weight decay 0.01. Random seed fijo (42).</w:t>
      </w:r>
    </w:p>
    <w:p>
      <w:pPr>
        <w:pStyle w:val="ListParagraph"/>
        <w:numPr>
          <w:ilvl w:val="0"/>
          <w:numId w:val="2"/>
        </w:numPr>
        <w:spacing w:after="60" w:line="300"/>
      </w:pPr>
      <w:r>
        <w:rPr>
          <w:sz w:val="22"/>
          <w:szCs w:val="22"/>
        </w:rPr>
        <w:t xml:space="preserve">Evaluación primaria: kappa de Cohen + IC 95% bootstrap (1000 iteraciones).</w:t>
      </w:r>
    </w:p>
    <w:p>
      <w:pPr>
        <w:pStyle w:val="ListParagraph"/>
        <w:numPr>
          <w:ilvl w:val="0"/>
          <w:numId w:val="2"/>
        </w:numPr>
        <w:spacing w:after="60" w:line="300"/>
      </w:pPr>
      <w:r>
        <w:rPr>
          <w:sz w:val="22"/>
          <w:szCs w:val="22"/>
        </w:rPr>
        <w:t xml:space="preserve">Evaluación secundaria: F1 macro/weighted, AUC-ROC, matrices de confusión.</w:t>
      </w:r>
    </w:p>
    <w:p>
      <w:pPr>
        <w:pStyle w:val="ListParagraph"/>
        <w:numPr>
          <w:ilvl w:val="0"/>
          <w:numId w:val="2"/>
        </w:numPr>
        <w:spacing w:after="60" w:line="300"/>
      </w:pPr>
      <w:r>
        <w:rPr>
          <w:sz w:val="22"/>
          <w:szCs w:val="22"/>
        </w:rPr>
        <w:t xml:space="preserve">Comparación con baseline: McNemar test pareado entre pipeline y fórmula determinista.</w:t>
      </w:r>
    </w:p>
    <w:p>
      <w:pPr>
        <w:pStyle w:val="ListParagraph"/>
        <w:numPr>
          <w:ilvl w:val="0"/>
          <w:numId w:val="2"/>
        </w:numPr>
        <w:spacing w:after="60" w:line="300"/>
      </w:pPr>
      <w:r>
        <w:rPr>
          <w:sz w:val="22"/>
          <w:szCs w:val="22"/>
        </w:rPr>
        <w:t xml:space="preserve">Análisis de sensibilidad: variar pesos de la fórmula GEMSES (±20 %) y reportar robustez.</w:t>
      </w:r>
    </w:p>
    <w:p>
      <w:pPr>
        <w:pStyle w:val="ListParagraph"/>
        <w:numPr>
          <w:ilvl w:val="0"/>
          <w:numId w:val="2"/>
        </w:numPr>
        <w:spacing w:after="60" w:line="300"/>
      </w:pPr>
      <w:r>
        <w:rPr>
          <w:sz w:val="22"/>
          <w:szCs w:val="22"/>
        </w:rPr>
        <w:t xml:space="preserve">Análisis exploratorio: clustering no supervisado (UMAP + HDBSCAN) sobre embeddings de eventos para identificar patrones causales — declarado como exploratorio, no confirmatorio.</w:t>
      </w:r>
    </w:p>
    <w:p>
      <w:pPr>
        <w:pStyle w:val="Heading2"/>
        <w:spacing w:after="140" w:before="240"/>
      </w:pPr>
      <w:r>
        <w:rPr>
          <w:b/>
          <w:bCs/>
          <w:color w:val="2E74B5"/>
          <w:sz w:val="26"/>
          <w:szCs w:val="26"/>
        </w:rPr>
        <w:t xml:space="preserve">3.6 Criterios de inclusión y exclusión</w:t>
      </w:r>
    </w:p>
    <w:p>
      <w:pPr>
        <w:pStyle w:val="ListParagraph"/>
        <w:numPr>
          <w:ilvl w:val="0"/>
          <w:numId w:val="3"/>
        </w:numPr>
        <w:spacing w:after="60" w:line="300"/>
      </w:pPr>
      <w:r>
        <w:rPr>
          <w:sz w:val="22"/>
          <w:szCs w:val="22"/>
        </w:rPr>
        <w:t xml:space="preserve">Inclusión: notas clínicas en MIMIC-IV asociadas a estancias hospitalarias completas, con length of stay ≥ 24 horas, con al menos una nota de evolución y una nota de discharge summary.</w:t>
      </w:r>
    </w:p>
    <w:p>
      <w:pPr>
        <w:pStyle w:val="ListParagraph"/>
        <w:numPr>
          <w:ilvl w:val="0"/>
          <w:numId w:val="3"/>
        </w:numPr>
        <w:spacing w:after="60" w:line="300"/>
      </w:pPr>
      <w:r>
        <w:rPr>
          <w:sz w:val="22"/>
          <w:szCs w:val="22"/>
        </w:rPr>
        <w:t xml:space="preserve">Exclusión: notas con menos de 50 tokens, notas marcadas como deidentification artifacts, pacientes con múltiples readmisiones en ventana &lt; 30 días (para evitar leakage).</w:t>
      </w:r>
    </w:p>
    <w:p>
      <w:pPr>
        <w:pStyle w:val="Heading2"/>
        <w:spacing w:after="140" w:before="240"/>
      </w:pPr>
      <w:r>
        <w:rPr>
          <w:b/>
          <w:bCs/>
          <w:color w:val="2E74B5"/>
          <w:sz w:val="26"/>
          <w:szCs w:val="26"/>
        </w:rPr>
        <w:t xml:space="preserve">3.7 Criterios de detención y desviaciones del protocolo</w:t>
      </w:r>
    </w:p>
    <w:p>
      <w:pPr>
        <w:spacing w:after="100" w:line="320"/>
        <w:jc w:val="both"/>
      </w:pPr>
      <w:r>
        <w:rPr>
          <w:b w:val="false"/>
          <w:bCs w:val="false"/>
          <w:i w:val="false"/>
          <w:iCs w:val="false"/>
          <w:sz w:val="22"/>
          <w:szCs w:val="22"/>
        </w:rPr>
        <w:t xml:space="preserve">Criterios de detención (stopping rules): si el pipeline no alcanza κ ≥ 0.40 sobre la muestra de validación tras 3 iteraciones de fine-tuning, se reportará como hallazgo negativo y se discutirá honestamente. No se modificarán las hipótesis post-hoc.</w:t>
      </w:r>
    </w:p>
    <w:p>
      <w:pPr>
        <w:spacing w:after="100" w:line="320"/>
        <w:jc w:val="both"/>
      </w:pPr>
      <w:r>
        <w:rPr>
          <w:b w:val="false"/>
          <w:bCs w:val="false"/>
          <w:i w:val="false"/>
          <w:iCs w:val="false"/>
          <w:sz w:val="22"/>
          <w:szCs w:val="22"/>
        </w:rPr>
        <w:t xml:space="preserve">Desviaciones permitidas (deviations): cambios en hyperparameters dentro del rango estándar de la literatura no requieren amendment. Cualquier cambio en hipótesis, variables dependientes o muestra requiere amendment formal y publicación de la versión actualizada del preregistro.</w:t>
      </w:r>
    </w:p>
    <w:p>
      <w:pPr>
        <w:pStyle w:val="Heading2"/>
        <w:spacing w:after="140" w:before="240"/>
      </w:pPr>
      <w:r>
        <w:rPr>
          <w:b/>
          <w:bCs/>
          <w:color w:val="2E74B5"/>
          <w:sz w:val="26"/>
          <w:szCs w:val="26"/>
        </w:rPr>
        <w:t xml:space="preserve">3.8 Disponibilidad de código y datos</w:t>
      </w:r>
    </w:p>
    <w:p>
      <w:pPr>
        <w:spacing w:after="100" w:line="320"/>
        <w:jc w:val="both"/>
      </w:pPr>
      <w:r>
        <w:rPr>
          <w:b w:val="false"/>
          <w:bCs w:val="false"/>
          <w:i w:val="false"/>
          <w:iCs w:val="false"/>
          <w:sz w:val="22"/>
          <w:szCs w:val="22"/>
        </w:rPr>
        <w:t xml:space="preserve">Código: repositorio público en GitHub con licencia MIT (https://github.com/carlosperez100/gemses-mimic-pipeline — placeholder, crear al iniciar).</w:t>
      </w:r>
    </w:p>
    <w:p>
      <w:pPr>
        <w:spacing w:after="100" w:line="320"/>
        <w:jc w:val="both"/>
      </w:pPr>
      <w:r>
        <w:rPr>
          <w:b w:val="false"/>
          <w:bCs w:val="false"/>
          <w:i w:val="false"/>
          <w:iCs w:val="false"/>
          <w:sz w:val="22"/>
          <w:szCs w:val="22"/>
        </w:rPr>
        <w:t xml:space="preserve">Datos: MIMIC-IV no se redistribuye (DUA prohíbe). Se publicarán scripts de extracción con documentación. El subset etiquetado manualmente puede ser solicitado bajo el mismo DUA de MIMIC-IV.</w:t>
      </w:r>
    </w:p>
    <w:p>
      <w:pPr>
        <w:spacing w:after="100" w:line="320"/>
        <w:jc w:val="both"/>
      </w:pPr>
      <w:r>
        <w:rPr>
          <w:b w:val="false"/>
          <w:bCs w:val="false"/>
          <w:i w:val="false"/>
          <w:iCs w:val="false"/>
          <w:sz w:val="22"/>
          <w:szCs w:val="22"/>
        </w:rPr>
        <w:t xml:space="preserve">Modelos: pesos de BioBERT/ClinicalBERT fine-tuneados publicados en Hugging Face Hub bajo licencia compatible con MIMIC-IV.</w:t>
      </w:r>
    </w:p>
    <w:p>
      <w:pPr>
        <w:pStyle w:val="Heading2"/>
        <w:spacing w:after="140" w:before="240"/>
      </w:pPr>
      <w:r>
        <w:rPr>
          <w:b/>
          <w:bCs/>
          <w:color w:val="2E74B5"/>
          <w:sz w:val="26"/>
          <w:szCs w:val="26"/>
        </w:rPr>
        <w:t xml:space="preserve">3.9 Conflictos de interés declarados</w:t>
      </w:r>
    </w:p>
    <w:p>
      <w:pPr>
        <w:spacing w:after="100" w:line="320"/>
        <w:jc w:val="both"/>
      </w:pPr>
      <w:r>
        <w:rPr>
          <w:b w:val="false"/>
          <w:bCs w:val="false"/>
          <w:i w:val="false"/>
          <w:iCs w:val="false"/>
          <w:sz w:val="22"/>
          <w:szCs w:val="22"/>
        </w:rPr>
        <w:t xml:space="preserve">El investigador principal es autor del Modelo GEMSES (libro publicado en 2021, ISBN 978-612-00-6235-7) y se desempeña como Asesor de la Oficina de Gestión de la Calidad de EsSalud. El Modelo GEMSES está adoptado normativamente por EsSalud mediante la Directiva GG-ESSALUD-2021. Para mitigar el sesgo:</w:t>
      </w:r>
    </w:p>
    <w:p>
      <w:pPr>
        <w:pStyle w:val="ListParagraph"/>
        <w:numPr>
          <w:ilvl w:val="0"/>
          <w:numId w:val="3"/>
        </w:numPr>
        <w:spacing w:after="60" w:line="300"/>
      </w:pPr>
      <w:r>
        <w:rPr>
          <w:sz w:val="22"/>
          <w:szCs w:val="22"/>
        </w:rPr>
        <w:t xml:space="preserve">El panel experto de validación será INDEPENDIENTE del investigador principal y de la Oficina de Gestión de la Calidad.</w:t>
      </w:r>
    </w:p>
    <w:p>
      <w:pPr>
        <w:pStyle w:val="ListParagraph"/>
        <w:numPr>
          <w:ilvl w:val="0"/>
          <w:numId w:val="3"/>
        </w:numPr>
        <w:spacing w:after="60" w:line="300"/>
      </w:pPr>
      <w:r>
        <w:rPr>
          <w:sz w:val="22"/>
          <w:szCs w:val="22"/>
        </w:rPr>
        <w:t xml:space="preserve">Se publicarán resultados negativos y positivos por igual.</w:t>
      </w:r>
    </w:p>
    <w:p>
      <w:pPr>
        <w:pStyle w:val="ListParagraph"/>
        <w:numPr>
          <w:ilvl w:val="0"/>
          <w:numId w:val="3"/>
        </w:numPr>
        <w:spacing w:after="60" w:line="300"/>
      </w:pPr>
      <w:r>
        <w:rPr>
          <w:sz w:val="22"/>
          <w:szCs w:val="22"/>
        </w:rPr>
        <w:t xml:space="preserve">El código y los protocolos serán abiertos para reproducibilidad por terceros.</w:t>
      </w:r>
    </w:p>
    <w:p>
      <w:pPr>
        <w:pStyle w:val="ListParagraph"/>
        <w:numPr>
          <w:ilvl w:val="0"/>
          <w:numId w:val="3"/>
        </w:numPr>
        <w:spacing w:after="60" w:line="300"/>
      </w:pPr>
      <w:r>
        <w:rPr>
          <w:sz w:val="22"/>
          <w:szCs w:val="22"/>
        </w:rPr>
        <w:t xml:space="preserve">El estudio NO recibe financiamiento de EsSalud ni de instituciones que tengan interés en el resultado.</w:t>
      </w:r>
    </w:p>
    <w:p>
      <w:pPr>
        <w:pStyle w:val="Heading2"/>
        <w:spacing w:after="140" w:before="240"/>
      </w:pPr>
      <w:r>
        <w:rPr>
          <w:b/>
          <w:bCs/>
          <w:color w:val="2E74B5"/>
          <w:sz w:val="26"/>
          <w:szCs w:val="26"/>
        </w:rPr>
        <w:t xml:space="preserve">3.10 Cronograma de ejecución preregistrado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160"/>
        <w:gridCol w:w="2880"/>
      </w:tblGrid>
      <w:tr>
        <w:trPr>
          <w:tblHeader/>
        </w:trPr>
        <w:tc>
          <w:tcPr>
            <w:tcW w:type="dxa" w:w="2160"/>
            <w:tcBorders>
              <w:top w:val="single" w:color="808080" w:sz="4"/>
              <w:left w:val="single" w:color="808080" w:sz="4"/>
              <w:bottom w:val="single" w:color="808080" w:sz="4"/>
              <w:right w:val="single" w:color="808080" w:sz="4"/>
            </w:tcBorders>
            <w:shd w:fill="1F3864" w:val="clear"/>
            <w:tcMar>
              <w:top w:type="dxa" w:w="80"/>
              <w:left w:type="dxa" w:w="120"/>
              <w:bottom w:type="dxa" w:w="80"/>
              <w:right w:type="dxa" w:w="120"/>
            </w:tcMar>
          </w:tcPr>
          <w:p>
            <w:pPr>
              <w:jc w:val="left"/>
            </w:pPr>
            <w:r>
              <w:rPr>
                <w:b/>
                <w:bCs/>
                <w:color w:val="FFFFFF"/>
                <w:sz w:val="18"/>
                <w:szCs w:val="18"/>
              </w:rPr>
              <w:t xml:space="preserve">Fase</w:t>
            </w:r>
          </w:p>
        </w:tc>
        <w:tc>
          <w:tcPr>
            <w:tcW w:type="dxa" w:w="2160"/>
            <w:tcBorders>
              <w:top w:val="single" w:color="808080" w:sz="4"/>
              <w:left w:val="single" w:color="808080" w:sz="4"/>
              <w:bottom w:val="single" w:color="808080" w:sz="4"/>
              <w:right w:val="single" w:color="808080" w:sz="4"/>
            </w:tcBorders>
            <w:shd w:fill="1F3864" w:val="clear"/>
            <w:tcMar>
              <w:top w:type="dxa" w:w="80"/>
              <w:left w:type="dxa" w:w="120"/>
              <w:bottom w:type="dxa" w:w="80"/>
              <w:right w:type="dxa" w:w="120"/>
            </w:tcMar>
          </w:tcPr>
          <w:p>
            <w:pPr>
              <w:jc w:val="left"/>
            </w:pPr>
            <w:r>
              <w:rPr>
                <w:b/>
                <w:bCs/>
                <w:color w:val="FFFFFF"/>
                <w:sz w:val="18"/>
                <w:szCs w:val="18"/>
              </w:rPr>
              <w:t xml:space="preserve">Inicio</w:t>
            </w:r>
          </w:p>
        </w:tc>
        <w:tc>
          <w:tcPr>
            <w:tcW w:type="dxa" w:w="2160"/>
            <w:tcBorders>
              <w:top w:val="single" w:color="808080" w:sz="4"/>
              <w:left w:val="single" w:color="808080" w:sz="4"/>
              <w:bottom w:val="single" w:color="808080" w:sz="4"/>
              <w:right w:val="single" w:color="808080" w:sz="4"/>
            </w:tcBorders>
            <w:shd w:fill="1F3864" w:val="clear"/>
            <w:tcMar>
              <w:top w:type="dxa" w:w="80"/>
              <w:left w:type="dxa" w:w="120"/>
              <w:bottom w:type="dxa" w:w="80"/>
              <w:right w:type="dxa" w:w="120"/>
            </w:tcMar>
          </w:tcPr>
          <w:p>
            <w:pPr>
              <w:jc w:val="left"/>
            </w:pPr>
            <w:r>
              <w:rPr>
                <w:b/>
                <w:bCs/>
                <w:color w:val="FFFFFF"/>
                <w:sz w:val="18"/>
                <w:szCs w:val="18"/>
              </w:rPr>
              <w:t xml:space="preserve">Fin</w:t>
            </w:r>
          </w:p>
        </w:tc>
        <w:tc>
          <w:tcPr>
            <w:tcW w:type="dxa" w:w="2880"/>
            <w:tcBorders>
              <w:top w:val="single" w:color="808080" w:sz="4"/>
              <w:left w:val="single" w:color="808080" w:sz="4"/>
              <w:bottom w:val="single" w:color="808080" w:sz="4"/>
              <w:right w:val="single" w:color="808080" w:sz="4"/>
            </w:tcBorders>
            <w:shd w:fill="1F3864" w:val="clear"/>
            <w:tcMar>
              <w:top w:type="dxa" w:w="80"/>
              <w:left w:type="dxa" w:w="120"/>
              <w:bottom w:type="dxa" w:w="80"/>
              <w:right w:type="dxa" w:w="120"/>
            </w:tcMar>
          </w:tcPr>
          <w:p>
            <w:pPr>
              <w:jc w:val="left"/>
            </w:pPr>
            <w:r>
              <w:rPr>
                <w:b/>
                <w:bCs/>
                <w:color w:val="FFFFFF"/>
                <w:sz w:val="18"/>
                <w:szCs w:val="18"/>
              </w:rPr>
              <w:t xml:space="preserve">Producto verificable</w:t>
            </w:r>
          </w:p>
        </w:tc>
      </w:tr>
      <w:tr>
        <w:tc>
          <w:tcPr>
            <w:tcW w:type="dxa" w:w="2160"/>
            <w:tcBorders>
              <w:top w:val="single" w:color="808080" w:sz="4"/>
              <w:left w:val="single" w:color="808080" w:sz="4"/>
              <w:bottom w:val="single" w:color="808080" w:sz="4"/>
              <w:right w:val="single" w:color="808080" w:sz="4"/>
            </w:tcBorders>
            <w:tcMar>
              <w:top w:type="dxa" w:w="80"/>
              <w:left w:type="dxa" w:w="120"/>
              <w:bottom w:type="dxa" w:w="80"/>
              <w:right w:type="dxa" w:w="120"/>
            </w:tcMar>
          </w:tcPr>
          <w:p>
            <w:pPr>
              <w:jc w:val="left"/>
            </w:pPr>
            <w:r>
              <w:rPr>
                <w:b w:val="false"/>
                <w:bCs w:val="false"/>
                <w:color w:val="000000"/>
                <w:sz w:val="18"/>
                <w:szCs w:val="18"/>
              </w:rPr>
              <w:t xml:space="preserve">Fase 1 — Revisión sistemática</w:t>
            </w:r>
          </w:p>
        </w:tc>
        <w:tc>
          <w:tcPr>
            <w:tcW w:type="dxa" w:w="2160"/>
            <w:tcBorders>
              <w:top w:val="single" w:color="808080" w:sz="4"/>
              <w:left w:val="single" w:color="808080" w:sz="4"/>
              <w:bottom w:val="single" w:color="808080" w:sz="4"/>
              <w:right w:val="single" w:color="808080" w:sz="4"/>
            </w:tcBorders>
            <w:tcMar>
              <w:top w:type="dxa" w:w="80"/>
              <w:left w:type="dxa" w:w="120"/>
              <w:bottom w:type="dxa" w:w="80"/>
              <w:right w:type="dxa" w:w="120"/>
            </w:tcMar>
          </w:tcPr>
          <w:p>
            <w:pPr>
              <w:jc w:val="left"/>
            </w:pPr>
            <w:r>
              <w:rPr>
                <w:b w:val="false"/>
                <w:bCs w:val="false"/>
                <w:color w:val="000000"/>
                <w:sz w:val="18"/>
                <w:szCs w:val="18"/>
              </w:rPr>
              <w:t xml:space="preserve">May 2026</w:t>
            </w:r>
          </w:p>
        </w:tc>
        <w:tc>
          <w:tcPr>
            <w:tcW w:type="dxa" w:w="2160"/>
            <w:tcBorders>
              <w:top w:val="single" w:color="808080" w:sz="4"/>
              <w:left w:val="single" w:color="808080" w:sz="4"/>
              <w:bottom w:val="single" w:color="808080" w:sz="4"/>
              <w:right w:val="single" w:color="808080" w:sz="4"/>
            </w:tcBorders>
            <w:tcMar>
              <w:top w:type="dxa" w:w="80"/>
              <w:left w:type="dxa" w:w="120"/>
              <w:bottom w:type="dxa" w:w="80"/>
              <w:right w:type="dxa" w:w="120"/>
            </w:tcMar>
          </w:tcPr>
          <w:p>
            <w:pPr>
              <w:jc w:val="left"/>
            </w:pPr>
            <w:r>
              <w:rPr>
                <w:b w:val="false"/>
                <w:bCs w:val="false"/>
                <w:color w:val="000000"/>
                <w:sz w:val="18"/>
                <w:szCs w:val="18"/>
              </w:rPr>
              <w:t xml:space="preserve">Jun 2026</w:t>
            </w:r>
          </w:p>
        </w:tc>
        <w:tc>
          <w:tcPr>
            <w:tcW w:type="dxa" w:w="2880"/>
            <w:tcBorders>
              <w:top w:val="single" w:color="808080" w:sz="4"/>
              <w:left w:val="single" w:color="808080" w:sz="4"/>
              <w:bottom w:val="single" w:color="808080" w:sz="4"/>
              <w:right w:val="single" w:color="808080" w:sz="4"/>
            </w:tcBorders>
            <w:tcMar>
              <w:top w:type="dxa" w:w="80"/>
              <w:left w:type="dxa" w:w="120"/>
              <w:bottom w:type="dxa" w:w="80"/>
              <w:right w:type="dxa" w:w="120"/>
            </w:tcMar>
          </w:tcPr>
          <w:p>
            <w:pPr>
              <w:jc w:val="left"/>
            </w:pPr>
            <w:r>
              <w:rPr>
                <w:b w:val="false"/>
                <w:bCs w:val="false"/>
                <w:color w:val="000000"/>
                <w:sz w:val="18"/>
                <w:szCs w:val="18"/>
              </w:rPr>
              <w:t xml:space="preserve">9-15 papers + Cap I + Cap II preliminar</w:t>
            </w:r>
          </w:p>
        </w:tc>
      </w:tr>
      <w:tr>
        <w:tc>
          <w:tcPr>
            <w:tcW w:type="dxa" w:w="2160"/>
            <w:tcBorders>
              <w:top w:val="single" w:color="808080" w:sz="4"/>
              <w:left w:val="single" w:color="808080" w:sz="4"/>
              <w:bottom w:val="single" w:color="808080" w:sz="4"/>
              <w:right w:val="single" w:color="808080" w:sz="4"/>
            </w:tcBorders>
            <w:tcMar>
              <w:top w:type="dxa" w:w="80"/>
              <w:left w:type="dxa" w:w="120"/>
              <w:bottom w:type="dxa" w:w="80"/>
              <w:right w:type="dxa" w:w="120"/>
            </w:tcMar>
          </w:tcPr>
          <w:p>
            <w:pPr>
              <w:jc w:val="left"/>
            </w:pPr>
            <w:r>
              <w:rPr>
                <w:b w:val="false"/>
                <w:bCs w:val="false"/>
                <w:color w:val="000000"/>
                <w:sz w:val="18"/>
                <w:szCs w:val="18"/>
              </w:rPr>
              <w:t xml:space="preserve">Fase 2 — Acceso a datos</w:t>
            </w:r>
          </w:p>
        </w:tc>
        <w:tc>
          <w:tcPr>
            <w:tcW w:type="dxa" w:w="2160"/>
            <w:tcBorders>
              <w:top w:val="single" w:color="808080" w:sz="4"/>
              <w:left w:val="single" w:color="808080" w:sz="4"/>
              <w:bottom w:val="single" w:color="808080" w:sz="4"/>
              <w:right w:val="single" w:color="808080" w:sz="4"/>
            </w:tcBorders>
            <w:tcMar>
              <w:top w:type="dxa" w:w="80"/>
              <w:left w:type="dxa" w:w="120"/>
              <w:bottom w:type="dxa" w:w="80"/>
              <w:right w:type="dxa" w:w="120"/>
            </w:tcMar>
          </w:tcPr>
          <w:p>
            <w:pPr>
              <w:jc w:val="left"/>
            </w:pPr>
            <w:r>
              <w:rPr>
                <w:b w:val="false"/>
                <w:bCs w:val="false"/>
                <w:color w:val="000000"/>
                <w:sz w:val="18"/>
                <w:szCs w:val="18"/>
              </w:rPr>
              <w:t xml:space="preserve">May 2026</w:t>
            </w:r>
          </w:p>
        </w:tc>
        <w:tc>
          <w:tcPr>
            <w:tcW w:type="dxa" w:w="2160"/>
            <w:tcBorders>
              <w:top w:val="single" w:color="808080" w:sz="4"/>
              <w:left w:val="single" w:color="808080" w:sz="4"/>
              <w:bottom w:val="single" w:color="808080" w:sz="4"/>
              <w:right w:val="single" w:color="808080" w:sz="4"/>
            </w:tcBorders>
            <w:tcMar>
              <w:top w:type="dxa" w:w="80"/>
              <w:left w:type="dxa" w:w="120"/>
              <w:bottom w:type="dxa" w:w="80"/>
              <w:right w:type="dxa" w:w="120"/>
            </w:tcMar>
          </w:tcPr>
          <w:p>
            <w:pPr>
              <w:jc w:val="left"/>
            </w:pPr>
            <w:r>
              <w:rPr>
                <w:b w:val="false"/>
                <w:bCs w:val="false"/>
                <w:color w:val="000000"/>
                <w:sz w:val="18"/>
                <w:szCs w:val="18"/>
              </w:rPr>
              <w:t xml:space="preserve">Jun 2026</w:t>
            </w:r>
          </w:p>
        </w:tc>
        <w:tc>
          <w:tcPr>
            <w:tcW w:type="dxa" w:w="2880"/>
            <w:tcBorders>
              <w:top w:val="single" w:color="808080" w:sz="4"/>
              <w:left w:val="single" w:color="808080" w:sz="4"/>
              <w:bottom w:val="single" w:color="808080" w:sz="4"/>
              <w:right w:val="single" w:color="808080" w:sz="4"/>
            </w:tcBorders>
            <w:tcMar>
              <w:top w:type="dxa" w:w="80"/>
              <w:left w:type="dxa" w:w="120"/>
              <w:bottom w:type="dxa" w:w="80"/>
              <w:right w:type="dxa" w:w="120"/>
            </w:tcMar>
          </w:tcPr>
          <w:p>
            <w:pPr>
              <w:jc w:val="left"/>
            </w:pPr>
            <w:r>
              <w:rPr>
                <w:b w:val="false"/>
                <w:bCs w:val="false"/>
                <w:color w:val="000000"/>
                <w:sz w:val="18"/>
                <w:szCs w:val="18"/>
              </w:rPr>
              <w:t xml:space="preserve">PhysioNet aprobado + datos descargados</w:t>
            </w:r>
          </w:p>
        </w:tc>
      </w:tr>
      <w:tr>
        <w:tc>
          <w:tcPr>
            <w:tcW w:type="dxa" w:w="2160"/>
            <w:tcBorders>
              <w:top w:val="single" w:color="808080" w:sz="4"/>
              <w:left w:val="single" w:color="808080" w:sz="4"/>
              <w:bottom w:val="single" w:color="808080" w:sz="4"/>
              <w:right w:val="single" w:color="808080" w:sz="4"/>
            </w:tcBorders>
            <w:tcMar>
              <w:top w:type="dxa" w:w="80"/>
              <w:left w:type="dxa" w:w="120"/>
              <w:bottom w:type="dxa" w:w="80"/>
              <w:right w:type="dxa" w:w="120"/>
            </w:tcMar>
          </w:tcPr>
          <w:p>
            <w:pPr>
              <w:jc w:val="left"/>
            </w:pPr>
            <w:r>
              <w:rPr>
                <w:b w:val="false"/>
                <w:bCs w:val="false"/>
                <w:color w:val="000000"/>
                <w:sz w:val="18"/>
                <w:szCs w:val="18"/>
              </w:rPr>
              <w:t xml:space="preserve">Fase 3 — Preprocesamiento + etiquetado</w:t>
            </w:r>
          </w:p>
        </w:tc>
        <w:tc>
          <w:tcPr>
            <w:tcW w:type="dxa" w:w="2160"/>
            <w:tcBorders>
              <w:top w:val="single" w:color="808080" w:sz="4"/>
              <w:left w:val="single" w:color="808080" w:sz="4"/>
              <w:bottom w:val="single" w:color="808080" w:sz="4"/>
              <w:right w:val="single" w:color="808080" w:sz="4"/>
            </w:tcBorders>
            <w:tcMar>
              <w:top w:type="dxa" w:w="80"/>
              <w:left w:type="dxa" w:w="120"/>
              <w:bottom w:type="dxa" w:w="80"/>
              <w:right w:type="dxa" w:w="120"/>
            </w:tcMar>
          </w:tcPr>
          <w:p>
            <w:pPr>
              <w:jc w:val="left"/>
            </w:pPr>
            <w:r>
              <w:rPr>
                <w:b w:val="false"/>
                <w:bCs w:val="false"/>
                <w:color w:val="000000"/>
                <w:sz w:val="18"/>
                <w:szCs w:val="18"/>
              </w:rPr>
              <w:t xml:space="preserve">Jun 2026</w:t>
            </w:r>
          </w:p>
        </w:tc>
        <w:tc>
          <w:tcPr>
            <w:tcW w:type="dxa" w:w="2160"/>
            <w:tcBorders>
              <w:top w:val="single" w:color="808080" w:sz="4"/>
              <w:left w:val="single" w:color="808080" w:sz="4"/>
              <w:bottom w:val="single" w:color="808080" w:sz="4"/>
              <w:right w:val="single" w:color="808080" w:sz="4"/>
            </w:tcBorders>
            <w:tcMar>
              <w:top w:type="dxa" w:w="80"/>
              <w:left w:type="dxa" w:w="120"/>
              <w:bottom w:type="dxa" w:w="80"/>
              <w:right w:type="dxa" w:w="120"/>
            </w:tcMar>
          </w:tcPr>
          <w:p>
            <w:pPr>
              <w:jc w:val="left"/>
            </w:pPr>
            <w:r>
              <w:rPr>
                <w:b w:val="false"/>
                <w:bCs w:val="false"/>
                <w:color w:val="000000"/>
                <w:sz w:val="18"/>
                <w:szCs w:val="18"/>
              </w:rPr>
              <w:t xml:space="preserve">Ago 2026</w:t>
            </w:r>
          </w:p>
        </w:tc>
        <w:tc>
          <w:tcPr>
            <w:tcW w:type="dxa" w:w="2880"/>
            <w:tcBorders>
              <w:top w:val="single" w:color="808080" w:sz="4"/>
              <w:left w:val="single" w:color="808080" w:sz="4"/>
              <w:bottom w:val="single" w:color="808080" w:sz="4"/>
              <w:right w:val="single" w:color="808080" w:sz="4"/>
            </w:tcBorders>
            <w:tcMar>
              <w:top w:type="dxa" w:w="80"/>
              <w:left w:type="dxa" w:w="120"/>
              <w:bottom w:type="dxa" w:w="80"/>
              <w:right w:type="dxa" w:w="120"/>
            </w:tcMar>
          </w:tcPr>
          <w:p>
            <w:pPr>
              <w:jc w:val="left"/>
            </w:pPr>
            <w:r>
              <w:rPr>
                <w:b w:val="false"/>
                <w:bCs w:val="false"/>
                <w:color w:val="000000"/>
                <w:sz w:val="18"/>
                <w:szCs w:val="18"/>
              </w:rPr>
              <w:t xml:space="preserve">Corpus etiquetado (5000 notas)</w:t>
            </w:r>
          </w:p>
        </w:tc>
      </w:tr>
      <w:tr>
        <w:tc>
          <w:tcPr>
            <w:tcW w:type="dxa" w:w="2160"/>
            <w:tcBorders>
              <w:top w:val="single" w:color="808080" w:sz="4"/>
              <w:left w:val="single" w:color="808080" w:sz="4"/>
              <w:bottom w:val="single" w:color="808080" w:sz="4"/>
              <w:right w:val="single" w:color="808080" w:sz="4"/>
            </w:tcBorders>
            <w:tcMar>
              <w:top w:type="dxa" w:w="80"/>
              <w:left w:type="dxa" w:w="120"/>
              <w:bottom w:type="dxa" w:w="80"/>
              <w:right w:type="dxa" w:w="120"/>
            </w:tcMar>
          </w:tcPr>
          <w:p>
            <w:pPr>
              <w:jc w:val="left"/>
            </w:pPr>
            <w:r>
              <w:rPr>
                <w:b w:val="false"/>
                <w:bCs w:val="false"/>
                <w:color w:val="000000"/>
                <w:sz w:val="18"/>
                <w:szCs w:val="18"/>
              </w:rPr>
              <w:t xml:space="preserve">Fase 4 — Modelado etapa 1 (NLP)</w:t>
            </w:r>
          </w:p>
        </w:tc>
        <w:tc>
          <w:tcPr>
            <w:tcW w:type="dxa" w:w="2160"/>
            <w:tcBorders>
              <w:top w:val="single" w:color="808080" w:sz="4"/>
              <w:left w:val="single" w:color="808080" w:sz="4"/>
              <w:bottom w:val="single" w:color="808080" w:sz="4"/>
              <w:right w:val="single" w:color="808080" w:sz="4"/>
            </w:tcBorders>
            <w:tcMar>
              <w:top w:type="dxa" w:w="80"/>
              <w:left w:type="dxa" w:w="120"/>
              <w:bottom w:type="dxa" w:w="80"/>
              <w:right w:type="dxa" w:w="120"/>
            </w:tcMar>
          </w:tcPr>
          <w:p>
            <w:pPr>
              <w:jc w:val="left"/>
            </w:pPr>
            <w:r>
              <w:rPr>
                <w:b w:val="false"/>
                <w:bCs w:val="false"/>
                <w:color w:val="000000"/>
                <w:sz w:val="18"/>
                <w:szCs w:val="18"/>
              </w:rPr>
              <w:t xml:space="preserve">Ago 2026</w:t>
            </w:r>
          </w:p>
        </w:tc>
        <w:tc>
          <w:tcPr>
            <w:tcW w:type="dxa" w:w="2160"/>
            <w:tcBorders>
              <w:top w:val="single" w:color="808080" w:sz="4"/>
              <w:left w:val="single" w:color="808080" w:sz="4"/>
              <w:bottom w:val="single" w:color="808080" w:sz="4"/>
              <w:right w:val="single" w:color="808080" w:sz="4"/>
            </w:tcBorders>
            <w:tcMar>
              <w:top w:type="dxa" w:w="80"/>
              <w:left w:type="dxa" w:w="120"/>
              <w:bottom w:type="dxa" w:w="80"/>
              <w:right w:type="dxa" w:w="120"/>
            </w:tcMar>
          </w:tcPr>
          <w:p>
            <w:pPr>
              <w:jc w:val="left"/>
            </w:pPr>
            <w:r>
              <w:rPr>
                <w:b w:val="false"/>
                <w:bCs w:val="false"/>
                <w:color w:val="000000"/>
                <w:sz w:val="18"/>
                <w:szCs w:val="18"/>
              </w:rPr>
              <w:t xml:space="preserve">Oct 2026</w:t>
            </w:r>
          </w:p>
        </w:tc>
        <w:tc>
          <w:tcPr>
            <w:tcW w:type="dxa" w:w="2880"/>
            <w:tcBorders>
              <w:top w:val="single" w:color="808080" w:sz="4"/>
              <w:left w:val="single" w:color="808080" w:sz="4"/>
              <w:bottom w:val="single" w:color="808080" w:sz="4"/>
              <w:right w:val="single" w:color="808080" w:sz="4"/>
            </w:tcBorders>
            <w:tcMar>
              <w:top w:type="dxa" w:w="80"/>
              <w:left w:type="dxa" w:w="120"/>
              <w:bottom w:type="dxa" w:w="80"/>
              <w:right w:type="dxa" w:w="120"/>
            </w:tcMar>
          </w:tcPr>
          <w:p>
            <w:pPr>
              <w:jc w:val="left"/>
            </w:pPr>
            <w:r>
              <w:rPr>
                <w:b w:val="false"/>
                <w:bCs w:val="false"/>
                <w:color w:val="000000"/>
                <w:sz w:val="18"/>
                <w:szCs w:val="18"/>
              </w:rPr>
              <w:t xml:space="preserve">Modelos fine-tuneados, métricas reportadas</w:t>
            </w:r>
          </w:p>
        </w:tc>
      </w:tr>
      <w:tr>
        <w:tc>
          <w:tcPr>
            <w:tcW w:type="dxa" w:w="2160"/>
            <w:tcBorders>
              <w:top w:val="single" w:color="808080" w:sz="4"/>
              <w:left w:val="single" w:color="808080" w:sz="4"/>
              <w:bottom w:val="single" w:color="808080" w:sz="4"/>
              <w:right w:val="single" w:color="808080" w:sz="4"/>
            </w:tcBorders>
            <w:tcMar>
              <w:top w:type="dxa" w:w="80"/>
              <w:left w:type="dxa" w:w="120"/>
              <w:bottom w:type="dxa" w:w="80"/>
              <w:right w:type="dxa" w:w="120"/>
            </w:tcMar>
          </w:tcPr>
          <w:p>
            <w:pPr>
              <w:jc w:val="left"/>
            </w:pPr>
            <w:r>
              <w:rPr>
                <w:b w:val="false"/>
                <w:bCs w:val="false"/>
                <w:color w:val="000000"/>
                <w:sz w:val="18"/>
                <w:szCs w:val="18"/>
              </w:rPr>
              <w:t xml:space="preserve">Fase 5 — Modelado etapa 2 (priorización)</w:t>
            </w:r>
          </w:p>
        </w:tc>
        <w:tc>
          <w:tcPr>
            <w:tcW w:type="dxa" w:w="2160"/>
            <w:tcBorders>
              <w:top w:val="single" w:color="808080" w:sz="4"/>
              <w:left w:val="single" w:color="808080" w:sz="4"/>
              <w:bottom w:val="single" w:color="808080" w:sz="4"/>
              <w:right w:val="single" w:color="808080" w:sz="4"/>
            </w:tcBorders>
            <w:tcMar>
              <w:top w:type="dxa" w:w="80"/>
              <w:left w:type="dxa" w:w="120"/>
              <w:bottom w:type="dxa" w:w="80"/>
              <w:right w:type="dxa" w:w="120"/>
            </w:tcMar>
          </w:tcPr>
          <w:p>
            <w:pPr>
              <w:jc w:val="left"/>
            </w:pPr>
            <w:r>
              <w:rPr>
                <w:b w:val="false"/>
                <w:bCs w:val="false"/>
                <w:color w:val="000000"/>
                <w:sz w:val="18"/>
                <w:szCs w:val="18"/>
              </w:rPr>
              <w:t xml:space="preserve">Oct 2026</w:t>
            </w:r>
          </w:p>
        </w:tc>
        <w:tc>
          <w:tcPr>
            <w:tcW w:type="dxa" w:w="2160"/>
            <w:tcBorders>
              <w:top w:val="single" w:color="808080" w:sz="4"/>
              <w:left w:val="single" w:color="808080" w:sz="4"/>
              <w:bottom w:val="single" w:color="808080" w:sz="4"/>
              <w:right w:val="single" w:color="808080" w:sz="4"/>
            </w:tcBorders>
            <w:tcMar>
              <w:top w:type="dxa" w:w="80"/>
              <w:left w:type="dxa" w:w="120"/>
              <w:bottom w:type="dxa" w:w="80"/>
              <w:right w:type="dxa" w:w="120"/>
            </w:tcMar>
          </w:tcPr>
          <w:p>
            <w:pPr>
              <w:jc w:val="left"/>
            </w:pPr>
            <w:r>
              <w:rPr>
                <w:b w:val="false"/>
                <w:bCs w:val="false"/>
                <w:color w:val="000000"/>
                <w:sz w:val="18"/>
                <w:szCs w:val="18"/>
              </w:rPr>
              <w:t xml:space="preserve">Dic 2026</w:t>
            </w:r>
          </w:p>
        </w:tc>
        <w:tc>
          <w:tcPr>
            <w:tcW w:type="dxa" w:w="2880"/>
            <w:tcBorders>
              <w:top w:val="single" w:color="808080" w:sz="4"/>
              <w:left w:val="single" w:color="808080" w:sz="4"/>
              <w:bottom w:val="single" w:color="808080" w:sz="4"/>
              <w:right w:val="single" w:color="808080" w:sz="4"/>
            </w:tcBorders>
            <w:tcMar>
              <w:top w:type="dxa" w:w="80"/>
              <w:left w:type="dxa" w:w="120"/>
              <w:bottom w:type="dxa" w:w="80"/>
              <w:right w:type="dxa" w:w="120"/>
            </w:tcMar>
          </w:tcPr>
          <w:p>
            <w:pPr>
              <w:jc w:val="left"/>
            </w:pPr>
            <w:r>
              <w:rPr>
                <w:b w:val="false"/>
                <w:bCs w:val="false"/>
                <w:color w:val="000000"/>
                <w:sz w:val="18"/>
                <w:szCs w:val="18"/>
              </w:rPr>
              <w:t xml:space="preserve">Pipeline integrado + validación panel</w:t>
            </w:r>
          </w:p>
        </w:tc>
      </w:tr>
      <w:tr>
        <w:tc>
          <w:tcPr>
            <w:tcW w:type="dxa" w:w="2160"/>
            <w:tcBorders>
              <w:top w:val="single" w:color="808080" w:sz="4"/>
              <w:left w:val="single" w:color="808080" w:sz="4"/>
              <w:bottom w:val="single" w:color="808080" w:sz="4"/>
              <w:right w:val="single" w:color="808080" w:sz="4"/>
            </w:tcBorders>
            <w:tcMar>
              <w:top w:type="dxa" w:w="80"/>
              <w:left w:type="dxa" w:w="120"/>
              <w:bottom w:type="dxa" w:w="80"/>
              <w:right w:type="dxa" w:w="120"/>
            </w:tcMar>
          </w:tcPr>
          <w:p>
            <w:pPr>
              <w:jc w:val="left"/>
            </w:pPr>
            <w:r>
              <w:rPr>
                <w:b w:val="false"/>
                <w:bCs w:val="false"/>
                <w:color w:val="000000"/>
                <w:sz w:val="18"/>
                <w:szCs w:val="18"/>
              </w:rPr>
              <w:t xml:space="preserve">Fase 6 — Análisis y discusión</w:t>
            </w:r>
          </w:p>
        </w:tc>
        <w:tc>
          <w:tcPr>
            <w:tcW w:type="dxa" w:w="2160"/>
            <w:tcBorders>
              <w:top w:val="single" w:color="808080" w:sz="4"/>
              <w:left w:val="single" w:color="808080" w:sz="4"/>
              <w:bottom w:val="single" w:color="808080" w:sz="4"/>
              <w:right w:val="single" w:color="808080" w:sz="4"/>
            </w:tcBorders>
            <w:tcMar>
              <w:top w:type="dxa" w:w="80"/>
              <w:left w:type="dxa" w:w="120"/>
              <w:bottom w:type="dxa" w:w="80"/>
              <w:right w:type="dxa" w:w="120"/>
            </w:tcMar>
          </w:tcPr>
          <w:p>
            <w:pPr>
              <w:jc w:val="left"/>
            </w:pPr>
            <w:r>
              <w:rPr>
                <w:b w:val="false"/>
                <w:bCs w:val="false"/>
                <w:color w:val="000000"/>
                <w:sz w:val="18"/>
                <w:szCs w:val="18"/>
              </w:rPr>
              <w:t xml:space="preserve">Ene 2027</w:t>
            </w:r>
          </w:p>
        </w:tc>
        <w:tc>
          <w:tcPr>
            <w:tcW w:type="dxa" w:w="2160"/>
            <w:tcBorders>
              <w:top w:val="single" w:color="808080" w:sz="4"/>
              <w:left w:val="single" w:color="808080" w:sz="4"/>
              <w:bottom w:val="single" w:color="808080" w:sz="4"/>
              <w:right w:val="single" w:color="808080" w:sz="4"/>
            </w:tcBorders>
            <w:tcMar>
              <w:top w:type="dxa" w:w="80"/>
              <w:left w:type="dxa" w:w="120"/>
              <w:bottom w:type="dxa" w:w="80"/>
              <w:right w:type="dxa" w:w="120"/>
            </w:tcMar>
          </w:tcPr>
          <w:p>
            <w:pPr>
              <w:jc w:val="left"/>
            </w:pPr>
            <w:r>
              <w:rPr>
                <w:b w:val="false"/>
                <w:bCs w:val="false"/>
                <w:color w:val="000000"/>
                <w:sz w:val="18"/>
                <w:szCs w:val="18"/>
              </w:rPr>
              <w:t xml:space="preserve">Mar 2027</w:t>
            </w:r>
          </w:p>
        </w:tc>
        <w:tc>
          <w:tcPr>
            <w:tcW w:type="dxa" w:w="2880"/>
            <w:tcBorders>
              <w:top w:val="single" w:color="808080" w:sz="4"/>
              <w:left w:val="single" w:color="808080" w:sz="4"/>
              <w:bottom w:val="single" w:color="808080" w:sz="4"/>
              <w:right w:val="single" w:color="808080" w:sz="4"/>
            </w:tcBorders>
            <w:tcMar>
              <w:top w:type="dxa" w:w="80"/>
              <w:left w:type="dxa" w:w="120"/>
              <w:bottom w:type="dxa" w:w="80"/>
              <w:right w:type="dxa" w:w="120"/>
            </w:tcMar>
          </w:tcPr>
          <w:p>
            <w:pPr>
              <w:jc w:val="left"/>
            </w:pPr>
            <w:r>
              <w:rPr>
                <w:b w:val="false"/>
                <w:bCs w:val="false"/>
                <w:color w:val="000000"/>
                <w:sz w:val="18"/>
                <w:szCs w:val="18"/>
              </w:rPr>
              <w:t xml:space="preserve">Cap IV + V de la tesis</w:t>
            </w:r>
          </w:p>
        </w:tc>
      </w:tr>
      <w:tr>
        <w:tc>
          <w:tcPr>
            <w:tcW w:type="dxa" w:w="2160"/>
            <w:tcBorders>
              <w:top w:val="single" w:color="808080" w:sz="4"/>
              <w:left w:val="single" w:color="808080" w:sz="4"/>
              <w:bottom w:val="single" w:color="808080" w:sz="4"/>
              <w:right w:val="single" w:color="808080" w:sz="4"/>
            </w:tcBorders>
            <w:tcMar>
              <w:top w:type="dxa" w:w="80"/>
              <w:left w:type="dxa" w:w="120"/>
              <w:bottom w:type="dxa" w:w="80"/>
              <w:right w:type="dxa" w:w="120"/>
            </w:tcMar>
          </w:tcPr>
          <w:p>
            <w:pPr>
              <w:jc w:val="left"/>
            </w:pPr>
            <w:r>
              <w:rPr>
                <w:b w:val="false"/>
                <w:bCs w:val="false"/>
                <w:color w:val="000000"/>
                <w:sz w:val="18"/>
                <w:szCs w:val="18"/>
              </w:rPr>
              <w:t xml:space="preserve">Fase 7 — Redacción final + sustentación</w:t>
            </w:r>
          </w:p>
        </w:tc>
        <w:tc>
          <w:tcPr>
            <w:tcW w:type="dxa" w:w="2160"/>
            <w:tcBorders>
              <w:top w:val="single" w:color="808080" w:sz="4"/>
              <w:left w:val="single" w:color="808080" w:sz="4"/>
              <w:bottom w:val="single" w:color="808080" w:sz="4"/>
              <w:right w:val="single" w:color="808080" w:sz="4"/>
            </w:tcBorders>
            <w:tcMar>
              <w:top w:type="dxa" w:w="80"/>
              <w:left w:type="dxa" w:w="120"/>
              <w:bottom w:type="dxa" w:w="80"/>
              <w:right w:type="dxa" w:w="120"/>
            </w:tcMar>
          </w:tcPr>
          <w:p>
            <w:pPr>
              <w:jc w:val="left"/>
            </w:pPr>
            <w:r>
              <w:rPr>
                <w:b w:val="false"/>
                <w:bCs w:val="false"/>
                <w:color w:val="000000"/>
                <w:sz w:val="18"/>
                <w:szCs w:val="18"/>
              </w:rPr>
              <w:t xml:space="preserve">Mar 2027</w:t>
            </w:r>
          </w:p>
        </w:tc>
        <w:tc>
          <w:tcPr>
            <w:tcW w:type="dxa" w:w="2160"/>
            <w:tcBorders>
              <w:top w:val="single" w:color="808080" w:sz="4"/>
              <w:left w:val="single" w:color="808080" w:sz="4"/>
              <w:bottom w:val="single" w:color="808080" w:sz="4"/>
              <w:right w:val="single" w:color="808080" w:sz="4"/>
            </w:tcBorders>
            <w:tcMar>
              <w:top w:type="dxa" w:w="80"/>
              <w:left w:type="dxa" w:w="120"/>
              <w:bottom w:type="dxa" w:w="80"/>
              <w:right w:type="dxa" w:w="120"/>
            </w:tcMar>
          </w:tcPr>
          <w:p>
            <w:pPr>
              <w:jc w:val="left"/>
            </w:pPr>
            <w:r>
              <w:rPr>
                <w:b w:val="false"/>
                <w:bCs w:val="false"/>
                <w:color w:val="000000"/>
                <w:sz w:val="18"/>
                <w:szCs w:val="18"/>
              </w:rPr>
              <w:t xml:space="preserve">May 2027</w:t>
            </w:r>
          </w:p>
        </w:tc>
        <w:tc>
          <w:tcPr>
            <w:tcW w:type="dxa" w:w="2880"/>
            <w:tcBorders>
              <w:top w:val="single" w:color="808080" w:sz="4"/>
              <w:left w:val="single" w:color="808080" w:sz="4"/>
              <w:bottom w:val="single" w:color="808080" w:sz="4"/>
              <w:right w:val="single" w:color="808080" w:sz="4"/>
            </w:tcBorders>
            <w:tcMar>
              <w:top w:type="dxa" w:w="80"/>
              <w:left w:type="dxa" w:w="120"/>
              <w:bottom w:type="dxa" w:w="80"/>
              <w:right w:type="dxa" w:w="120"/>
            </w:tcMar>
          </w:tcPr>
          <w:p>
            <w:pPr>
              <w:jc w:val="left"/>
            </w:pPr>
            <w:r>
              <w:rPr>
                <w:b w:val="false"/>
                <w:bCs w:val="false"/>
                <w:color w:val="000000"/>
                <w:sz w:val="18"/>
                <w:szCs w:val="18"/>
              </w:rPr>
              <w:t xml:space="preserve">Tesis defendida + paper Q1 sometido</w:t>
            </w:r>
          </w:p>
        </w:tc>
      </w:tr>
    </w:tbl>
    <w:p>
      <w:r>
        <w:br w:type="page"/>
      </w:r>
    </w:p>
    <w:p>
      <w:pPr>
        <w:pStyle w:val="Heading1"/>
        <w:spacing w:after="180" w:before="360"/>
      </w:pPr>
      <w:r>
        <w:rPr>
          <w:b/>
          <w:bCs/>
          <w:color w:val="1F3864"/>
          <w:sz w:val="32"/>
          <w:szCs w:val="32"/>
        </w:rPr>
        <w:t xml:space="preserve">Cierre — Lo que ganaste con esta ejecución</w:t>
      </w:r>
    </w:p>
    <w:p>
      <w:pPr>
        <w:spacing w:after="100" w:line="320"/>
        <w:jc w:val="both"/>
      </w:pPr>
      <w:r>
        <w:rPr>
          <w:b w:val="false"/>
          <w:bCs w:val="false"/>
          <w:i w:val="false"/>
          <w:iCs w:val="false"/>
          <w:sz w:val="22"/>
          <w:szCs w:val="22"/>
        </w:rPr>
        <w:t xml:space="preserve">Las tres skills del workflow Sant'Anna aplicadas en cascada producen tres ventajas concretas para tu entrega del 10 de mayo y para tu defensa final:</w:t>
      </w:r>
    </w:p>
    <w:p>
      <w:pPr>
        <w:pStyle w:val="ListParagraph"/>
        <w:numPr>
          <w:ilvl w:val="0"/>
          <w:numId w:val="2"/>
        </w:numPr>
        <w:spacing w:after="60" w:line="300"/>
      </w:pPr>
      <w:r>
        <w:rPr>
          <w:sz w:val="22"/>
          <w:szCs w:val="22"/>
        </w:rPr>
        <w:t xml:space="preserve">La síntesis del lit-review te da un argumento coherente para presentar el estado del arte, no solo 9 fichas sueltas. La profesora Tejada va a notar la diferencia entre "leí 9 papers" y "identifiqué 4 convergencias, 3 tensiones y un gap específico".</w:t>
      </w:r>
    </w:p>
    <w:p>
      <w:pPr>
        <w:pStyle w:val="ListParagraph"/>
        <w:numPr>
          <w:ilvl w:val="0"/>
          <w:numId w:val="2"/>
        </w:numPr>
        <w:spacing w:after="60" w:line="300"/>
      </w:pPr>
      <w:r>
        <w:rPr>
          <w:sz w:val="22"/>
          <w:szCs w:val="22"/>
        </w:rPr>
        <w:t xml:space="preserve">El registro adversarial de riesgos te permite anticipar cualquier crítica que vendrá en el examen parcial o final. Es la diferencia entre defender bien y defender excelentemente.</w:t>
      </w:r>
    </w:p>
    <w:p>
      <w:pPr>
        <w:pStyle w:val="ListParagraph"/>
        <w:numPr>
          <w:ilvl w:val="0"/>
          <w:numId w:val="2"/>
        </w:numPr>
        <w:spacing w:after="60" w:line="300"/>
      </w:pPr>
      <w:r>
        <w:rPr>
          <w:sz w:val="22"/>
          <w:szCs w:val="22"/>
        </w:rPr>
        <w:t xml:space="preserve">El preregistro formaliza tu compromiso metodológico, lo cual te posiciona para publicación Q1 (los revisores valoran enormemente el preregistro). Esta es la palanca para alcanzar la mención "Aprobado con excelencia" (19-20).</w:t>
      </w:r>
    </w:p>
    <w:p>
      <w:pPr>
        <w:spacing w:after="100" w:line="320"/>
        <w:jc w:val="both"/>
      </w:pPr>
      <w:r>
        <w:rPr>
          <w:b w:val="false"/>
          <w:bCs w:val="false"/>
          <w:i w:val="false"/>
          <w:iCs w:val="false"/>
          <w:sz w:val="22"/>
          <w:szCs w:val="22"/>
        </w:rPr>
        <w:t xml:space="preserve">Recomendación operativa: imprime este documento + el Cap I + el documento de los 9 papers, y úsalos como tu "trinchera" durante todo el ciclo del curso. Cuando la profesora pregunte algo, la respuesta está en uno de estos tres.</w:t>
      </w:r>
    </w:p>
    <w:p>
      <w:pPr>
        <w:spacing w:after="100" w:line="320"/>
        <w:jc w:val="both"/>
      </w:pPr>
      <w:r>
        <w:rPr>
          <w:b w:val="false"/>
          <w:bCs w:val="false"/>
          <w:i/>
          <w:iCs/>
          <w:sz w:val="20"/>
          <w:szCs w:val="20"/>
        </w:rPr>
        <w:t xml:space="preserve">Si más adelante quieres instalar el workflow real de Claude Code (tooling completo en tu máquina), el siguiente paso es: (i) instalar Claude Code CLI, (ii) clonar https://github.com/pedrohcgs/claude-code-my-workflow en tu carpeta de tesis, (iii) ejecutar ./scripts/validate-setup.sh para que te diga qué te falta. Pero eso es un proyecto separado.</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8"/>
        <w:szCs w:val="18"/>
      </w:rPr>
      <w:t xml:space="preserve">Página </w:t>
    </w:r>
    <w:r>
      <w:rPr>
        <w:color w:val="8080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808080"/>
        <w:sz w:val="18"/>
        <w:szCs w:val="18"/>
      </w:rPr>
      <w:t xml:space="preserve">Workflow académico (Sant'Anna) – MIA 303 – Carlos Pérez Pérez</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F3864"/>
      <w:sz w:val="32"/>
      <w:szCs w:val="32"/>
    </w:rPr>
  </w:style>
  <w:style w:type="paragraph" w:styleId="Heading2">
    <w:name w:val="Heading 2"/>
    <w:basedOn w:val="Normal"/>
    <w:next w:val="Normal"/>
    <w:qFormat/>
    <w:pPr>
      <w:spacing w:after="140" w:before="240"/>
      <w:outlineLvl w:val="1"/>
    </w:pPr>
    <w:rPr>
      <w:rFonts w:ascii="Arial" w:cs="Arial" w:eastAsia="Arial" w:hAnsi="Arial"/>
      <w:b/>
      <w:bCs/>
      <w:color w:val="2E74B5"/>
      <w:sz w:val="26"/>
      <w:szCs w:val="26"/>
    </w:rPr>
  </w:style>
  <w:style w:type="paragraph" w:styleId="Heading3">
    <w:name w:val="Heading 3"/>
    <w:basedOn w:val="Normal"/>
    <w:next w:val="Normal"/>
    <w:qFormat/>
    <w:pPr>
      <w:spacing w:after="100" w:before="180"/>
      <w:outlineLvl w:val="2"/>
    </w:pPr>
    <w:rPr>
      <w:rFonts w:ascii="Arial" w:cs="Arial" w:eastAsia="Arial" w:hAnsi="Arial"/>
      <w:b/>
      <w:bCs/>
      <w:color w:val="2E74B5"/>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Workflow academico - Lit Review + Devils Advocate + Preregistro</dc:title>
  <dc:creator>Carlos Perez Perez</dc:creator>
  <cp:lastModifiedBy>Un-named</cp:lastModifiedBy>
  <cp:revision>1</cp:revision>
  <dcterms:created xsi:type="dcterms:W3CDTF">2026-05-06T02:10:28.046Z</dcterms:created>
  <dcterms:modified xsi:type="dcterms:W3CDTF">2026-05-06T02:10:28.046Z</dcterms:modified>
</cp:coreProperties>
</file>

<file path=docProps/custom.xml><?xml version="1.0" encoding="utf-8"?>
<Properties xmlns="http://schemas.openxmlformats.org/officeDocument/2006/custom-properties" xmlns:vt="http://schemas.openxmlformats.org/officeDocument/2006/docPropsVTypes"/>
</file>