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Arial" w:cs="Arial" w:eastAsia="Arial" w:hAnsi="Arial"/>
          <w:b/>
          <w:bCs/>
          <w:color w:val="1F3864"/>
          <w:sz w:val="56"/>
          <w:szCs w:val="56"/>
        </w:rPr>
        <w:t xml:space="preserve">INFORME DE AVANCE</w:t>
      </w:r>
    </w:p>
    <w:p>
      <w:pPr>
        <w:spacing w:before="120"/>
        <w:jc w:val="center"/>
      </w:pPr>
      <w:r>
        <w:rPr>
          <w:rFonts w:ascii="Arial" w:cs="Arial" w:eastAsia="Arial" w:hAnsi="Arial"/>
          <w:color w:val="2E2E2E"/>
          <w:sz w:val="30"/>
          <w:szCs w:val="30"/>
        </w:rPr>
        <w:t xml:space="preserve">Pipeline de detección y priorización de eventos adversos</w:t>
      </w:r>
    </w:p>
    <w:p>
      <w:pPr>
        <w:spacing w:before="60"/>
        <w:jc w:val="center"/>
      </w:pPr>
      <w:r>
        <w:rPr>
          <w:rFonts w:ascii="Arial" w:cs="Arial" w:eastAsia="Arial" w:hAnsi="Arial"/>
          <w:color w:val="2E2E2E"/>
          <w:sz w:val="30"/>
          <w:szCs w:val="30"/>
        </w:rPr>
        <w:t xml:space="preserve">Modelo GEMSES sobre el dataset MIMIC-IV</w:t>
      </w:r>
    </w:p>
    <w:p>
      <w:pPr>
        <w:spacing w:before="900"/>
        <w:jc w:val="center"/>
      </w:pPr>
      <w:r>
        <w:rPr>
          <w:rFonts w:ascii="Arial" w:cs="Arial" w:eastAsia="Arial" w:hAnsi="Arial"/>
          <w:sz w:val="24"/>
          <w:szCs w:val="24"/>
        </w:rPr>
        <w:t xml:space="preserve">Tesis de Maestría en Inteligencia Artificial — UNI</w:t>
      </w:r>
    </w:p>
    <w:p>
      <w:pPr>
        <w:spacing w:before="60"/>
        <w:jc w:val="center"/>
      </w:pPr>
      <w:r>
        <w:rPr>
          <w:rFonts w:ascii="Arial" w:cs="Arial" w:eastAsia="Arial" w:hAnsi="Arial"/>
          <w:sz w:val="24"/>
          <w:szCs w:val="24"/>
        </w:rPr>
        <w:t xml:space="preserve">Curso MIA 303 — Proyectos de Investigación I</w:t>
      </w:r>
    </w:p>
    <w:p>
      <w:pPr>
        <w:spacing w:before="600"/>
        <w:jc w:val="center"/>
      </w:pPr>
      <w:r>
        <w:rPr>
          <w:rFonts w:ascii="Arial" w:cs="Arial" w:eastAsia="Arial" w:hAnsi="Arial"/>
          <w:b/>
          <w:bCs/>
          <w:sz w:val="24"/>
          <w:szCs w:val="24"/>
        </w:rPr>
        <w:t xml:space="preserve">Autor: Carlos Pérez Pérez</w:t>
      </w:r>
    </w:p>
    <w:p>
      <w:pPr>
        <w:spacing w:before="60"/>
        <w:jc w:val="center"/>
      </w:pPr>
      <w:r>
        <w:rPr>
          <w:rFonts w:ascii="Arial" w:cs="Arial" w:eastAsia="Arial" w:hAnsi="Arial"/>
          <w:sz w:val="24"/>
          <w:szCs w:val="24"/>
        </w:rPr>
        <w:t xml:space="preserve">Sesiones: 14 al 17 de mayo de 2026</w:t>
      </w:r>
    </w:p>
    <w:p>
      <w:pPr>
        <w:spacing w:before="60"/>
        <w:jc w:val="center"/>
      </w:pPr>
      <w:r>
        <w:rPr>
          <w:rFonts w:ascii="Arial" w:cs="Arial" w:eastAsia="Arial" w:hAnsi="Arial"/>
          <w:i/>
          <w:iCs/>
          <w:color w:val="595959"/>
          <w:sz w:val="20"/>
          <w:szCs w:val="20"/>
        </w:rPr>
        <w:t xml:space="preserve">Versión 2 — incluye resultados de validación experta</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En el periodo cubierto por este informe (14 al 17 de mayo de 2026) el proyecto pasó de tener los datos sin abrir a contar con: (a) el primer cálculo de la Matriz de Priorización GEMSES funcionando sobre datos reales, y (b) la primera medición empírica de la precisión del método de detección, validada por juicio experto.</w:t>
      </w:r>
    </w:p>
    <w:p>
      <w:pPr>
        <w:pStyle w:val="ListParagraph"/>
        <w:numPr>
          <w:ilvl w:val="0"/>
          <w:numId w:val="2"/>
        </w:numPr>
        <w:spacing w:after="60"/>
      </w:pPr>
      <w:r>
        <w:rPr>
          <w:rFonts w:ascii="Arial" w:cs="Arial" w:eastAsia="Arial" w:hAnsi="Arial"/>
          <w:sz w:val="22"/>
          <w:szCs w:val="22"/>
        </w:rPr>
        <w:t xml:space="preserve">Etapa 1 — Instalación y verificación del dataset MIMIC-IV v3.1.</w:t>
      </w:r>
    </w:p>
    <w:p>
      <w:pPr>
        <w:pStyle w:val="ListParagraph"/>
        <w:numPr>
          <w:ilvl w:val="0"/>
          <w:numId w:val="2"/>
        </w:numPr>
        <w:spacing w:after="60"/>
      </w:pPr>
      <w:r>
        <w:rPr>
          <w:rFonts w:ascii="Arial" w:cs="Arial" w:eastAsia="Arial" w:hAnsi="Arial"/>
          <w:sz w:val="22"/>
          <w:szCs w:val="22"/>
        </w:rPr>
        <w:t xml:space="preserve">Etapa 2 — Corrección de la base de datos del Anexo 2 desde la fuente oficial.</w:t>
      </w:r>
    </w:p>
    <w:p>
      <w:pPr>
        <w:pStyle w:val="ListParagraph"/>
        <w:numPr>
          <w:ilvl w:val="0"/>
          <w:numId w:val="2"/>
        </w:numPr>
        <w:spacing w:after="60"/>
      </w:pPr>
      <w:r>
        <w:rPr>
          <w:rFonts w:ascii="Arial" w:cs="Arial" w:eastAsia="Arial" w:hAnsi="Arial"/>
          <w:sz w:val="22"/>
          <w:szCs w:val="22"/>
        </w:rPr>
        <w:t xml:space="preserve">Etapa 3 — Construcción del puente automático entre las notas clínicas y el Anexo 2.</w:t>
      </w:r>
    </w:p>
    <w:p>
      <w:pPr>
        <w:pStyle w:val="ListParagraph"/>
        <w:numPr>
          <w:ilvl w:val="0"/>
          <w:numId w:val="2"/>
        </w:numPr>
        <w:spacing w:after="60"/>
      </w:pPr>
      <w:r>
        <w:rPr>
          <w:rFonts w:ascii="Arial" w:cs="Arial" w:eastAsia="Arial" w:hAnsi="Arial"/>
          <w:sz w:val="22"/>
          <w:szCs w:val="22"/>
        </w:rPr>
        <w:t xml:space="preserve">Etapa 4 — Preparación del set de validación experta de 20 detecciones.</w:t>
      </w:r>
    </w:p>
    <w:p>
      <w:pPr>
        <w:pStyle w:val="ListParagraph"/>
        <w:numPr>
          <w:ilvl w:val="0"/>
          <w:numId w:val="2"/>
        </w:numPr>
        <w:spacing w:after="60"/>
      </w:pPr>
      <w:r>
        <w:rPr>
          <w:rFonts w:ascii="Arial" w:cs="Arial" w:eastAsia="Arial" w:hAnsi="Arial"/>
          <w:sz w:val="22"/>
          <w:szCs w:val="22"/>
        </w:rPr>
        <w:t xml:space="preserve">Etapa 5 — Validación experta y análisis de errores (17/05/2026).</w:t>
      </w:r>
    </w:p>
    <w:p>
      <w:r>
        <w:rPr>
          <w:rFonts w:ascii="Arial" w:cs="Arial" w:eastAsia="Arial" w:hAnsi="Arial"/>
          <w:sz w:val="12"/>
          <w:szCs w:val="12"/>
        </w:rPr>
        <w:t xml:space="preserve"> </w:t>
      </w:r>
    </w:p>
    <w:p>
      <w:pPr>
        <w:spacing w:after="120"/>
      </w:pPr>
      <w:r>
        <w:rPr>
          <w:rFonts w:ascii="Arial" w:cs="Arial" w:eastAsia="Arial" w:hAnsi="Arial"/>
          <w:sz w:val="22"/>
          <w:szCs w:val="22"/>
        </w:rPr>
        <w:t xml:space="preserve">Resultado central: el método baseline alcanza una precisión inicial de 45 % en una muestra de 20 detecciones revisadas por experto, con una caracterización completa de los modos de falla que orientan la siguiente fase con BioBERT / ClinicalBERT.</w:t>
      </w:r>
    </w:p>
    <w:p>
      <w:r>
        <w:br w:type="page"/>
      </w:r>
    </w:p>
    <w:p>
      <w:pPr>
        <w:pStyle w:val="Heading1"/>
      </w:pPr>
      <w:r>
        <w:rPr>
          <w:rFonts w:ascii="Arial" w:cs="Arial" w:eastAsia="Arial" w:hAnsi="Arial"/>
        </w:rPr>
        <w:t xml:space="preserve">2. Estado inicial del proyecto</w:t>
      </w:r>
    </w:p>
    <w:p>
      <w:pPr>
        <w:spacing w:after="120"/>
      </w:pPr>
      <w:r>
        <w:rPr>
          <w:rFonts w:ascii="Arial" w:cs="Arial" w:eastAsia="Arial" w:hAnsi="Arial"/>
          <w:sz w:val="22"/>
          <w:szCs w:val="22"/>
        </w:rPr>
        <w:t xml:space="preserve">Al iniciar el periodo, los datos descargados de PhysioNet estaban comprimidos y la base de datos del modelo GEMSES estaba vacía. El siguiente esquema muestra la transformación de la estructura de carpetas:</w:t>
      </w:r>
    </w:p>
    <w:p>
      <w:pPr>
        <w:shd w:fill="F2F2F2" w:val="clear"/>
        <w:spacing w:after="0" w:before="0"/>
      </w:pPr>
      <w:r>
        <w:rPr>
          <w:rFonts w:ascii="Consolas" w:cs="Consolas" w:eastAsia="Consolas" w:hAnsi="Consolas"/>
          <w:sz w:val="16"/>
          <w:szCs w:val="16"/>
        </w:rPr>
        <w:t xml:space="preserve">ANTES                                  DESPUES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C:\MIMIC\                               C:\MIMIC\</w:t>
      </w:r>
    </w:p>
    <w:p>
      <w:pPr>
        <w:shd w:fill="F2F2F2" w:val="clear"/>
        <w:spacing w:after="0" w:before="0"/>
      </w:pPr>
      <w:r>
        <w:rPr>
          <w:rFonts w:ascii="Consolas" w:cs="Consolas" w:eastAsia="Consolas" w:hAnsi="Consolas"/>
          <w:sz w:val="16"/>
          <w:szCs w:val="16"/>
        </w:rPr>
        <w:t xml:space="preserve">  +- note\                                +- mimiciv\        &lt;- NUEVO, datos listos</w:t>
      </w:r>
    </w:p>
    <w:p>
      <w:pPr>
        <w:shd w:fill="F2F2F2" w:val="clear"/>
        <w:spacing w:after="0" w:before="0"/>
      </w:pPr>
      <w:r>
        <w:rPr>
          <w:rFonts w:ascii="Consolas" w:cs="Consolas" w:eastAsia="Consolas" w:hAnsi="Consolas"/>
          <w:sz w:val="16"/>
          <w:szCs w:val="16"/>
        </w:rPr>
        <w:t xml:space="preserve">      +- mimic-iv-3.1.zip (cerrado)        |   +- hosp\  (22 archivos)</w:t>
      </w:r>
    </w:p>
    <w:p>
      <w:pPr>
        <w:shd w:fill="F2F2F2" w:val="clear"/>
        <w:spacing w:after="0" w:before="0"/>
      </w:pPr>
      <w:r>
        <w:rPr>
          <w:rFonts w:ascii="Consolas" w:cs="Consolas" w:eastAsia="Consolas" w:hAnsi="Consolas"/>
          <w:sz w:val="16"/>
          <w:szCs w:val="16"/>
        </w:rPr>
        <w:t xml:space="preserve">      +- note\  (ya extraido)              |   +- icu\   (9 archivos)</w:t>
      </w:r>
    </w:p>
    <w:p>
      <w:pPr>
        <w:shd w:fill="F2F2F2" w:val="clear"/>
        <w:spacing w:after="0" w:before="0"/>
      </w:pPr>
      <w:r>
        <w:rPr>
          <w:rFonts w:ascii="Consolas" w:cs="Consolas" w:eastAsia="Consolas" w:hAnsi="Consolas"/>
          <w:sz w:val="16"/>
          <w:szCs w:val="16"/>
        </w:rPr>
        <w:t xml:space="preserve">                                           +- note\note\  (4 archivos)</w:t>
      </w:r>
    </w:p>
    <w:p>
      <w:pPr>
        <w:shd w:fill="F2F2F2" w:val="clear"/>
        <w:spacing w:after="0" w:before="0"/>
      </w:pPr>
      <w:r>
        <w:rPr>
          <w:rFonts w:ascii="Consolas" w:cs="Consolas" w:eastAsia="Consolas" w:hAnsi="Consolas"/>
          <w:sz w:val="16"/>
          <w:szCs w:val="16"/>
        </w:rPr>
        <w:t xml:space="preserve">                                           +- tesis\   (repositorio de la tesis)</w:t>
      </w:r>
    </w:p>
    <w:p>
      <w:r>
        <w:br w:type="page"/>
      </w:r>
    </w:p>
    <w:p>
      <w:pPr>
        <w:pStyle w:val="Heading1"/>
      </w:pPr>
      <w:r>
        <w:rPr>
          <w:rFonts w:ascii="Arial" w:cs="Arial" w:eastAsia="Arial" w:hAnsi="Arial"/>
        </w:rPr>
        <w:t xml:space="preserve">3. Etapa 1 — Instalación y verificación de MIMIC-IV</w:t>
      </w:r>
    </w:p>
    <w:p>
      <w:pPr>
        <w:spacing w:after="120"/>
      </w:pPr>
      <w:r>
        <w:rPr>
          <w:rFonts w:ascii="Arial" w:cs="Arial" w:eastAsia="Arial" w:hAnsi="Arial"/>
          <w:sz w:val="22"/>
          <w:szCs w:val="22"/>
        </w:rPr>
        <w:t xml:space="preserve">Se instaló el dataset principal y se verificó que ningún archivo se hubiera dañado en la descarga.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Revisión del contenido descargado en C:\MIMIC</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 archivos ZIP + notas ya extraídas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Descompresión de mimic-iv-3.1.zip (10.3 GB)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 archivos: 22 de hosp/ + 9 de icu/</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Renombrado de la carpeta a 'mimiciv'</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 con la ruta esperada por el notebook</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integridad con huellas SHA-256</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de 33 archivos íntegros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del notebook de exploración inicial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 11 vistas de datos conectadas</w:t>
            </w:r>
          </w:p>
        </w:tc>
      </w:tr>
    </w:tbl>
    <w:p>
      <w:r>
        <w:rPr>
          <w:rFonts w:ascii="Arial" w:cs="Arial" w:eastAsia="Arial" w:hAnsi="Arial"/>
          <w:sz w:val="12"/>
          <w:szCs w:val="12"/>
        </w:rPr>
        <w:t xml:space="preserve"> </w:t>
      </w:r>
    </w:p>
    <w:p>
      <w:pPr>
        <w:pStyle w:val="Heading2"/>
      </w:pPr>
      <w:r>
        <w:rPr>
          <w:rFonts w:ascii="Arial" w:cs="Arial" w:eastAsia="Arial" w:hAnsi="Arial"/>
        </w:rPr>
        <w:t xml:space="preserve">Hallazgo principal de la exploración</w:t>
      </w:r>
    </w:p>
    <w:p>
      <w:pPr>
        <w:spacing w:after="120"/>
      </w:pPr>
      <w:r>
        <w:rPr>
          <w:rFonts w:ascii="Arial" w:cs="Arial" w:eastAsia="Arial" w:hAnsi="Arial"/>
          <w:sz w:val="22"/>
          <w:szCs w:val="22"/>
        </w:rPr>
        <w:t xml:space="preserve">El corpus contiene 331,793 epicrisis de 145,914 pacientes. La longitud media es de ~10,500 caracteres. Solo el 0.14 % de las notas caben enteras en los 512 tokens de BioBERT / ClinicalBERT; el 99.86 % requiere segmentación. Dato citable en Capítulo III.</w:t>
      </w:r>
    </w:p>
    <w:p>
      <w:r>
        <w:br w:type="page"/>
      </w:r>
    </w:p>
    <w:p>
      <w:pPr>
        <w:pStyle w:val="Heading1"/>
      </w:pPr>
      <w:r>
        <w:rPr>
          <w:rFonts w:ascii="Arial" w:cs="Arial" w:eastAsia="Arial" w:hAnsi="Arial"/>
        </w:rPr>
        <w:t xml:space="preserve">4. Etapa 2 — Corrección de la base de datos del Anexo 2</w:t>
      </w:r>
    </w:p>
    <w:p>
      <w:pPr>
        <w:spacing w:after="120"/>
      </w:pPr>
      <w:r>
        <w:rPr>
          <w:rFonts w:ascii="Arial" w:cs="Arial" w:eastAsia="Arial" w:hAnsi="Arial"/>
          <w:sz w:val="22"/>
          <w:szCs w:val="22"/>
        </w:rPr>
        <w:t xml:space="preserve">Etapa más delicada. Se detectaron cinco problemas de integridad de datos y se resolvieron usando la fuente oficial.</w:t>
      </w:r>
    </w:p>
    <w:p>
      <w:pPr>
        <w:pStyle w:val="Heading2"/>
      </w:pPr>
      <w:r>
        <w:rPr>
          <w:rFonts w:ascii="Arial" w:cs="Arial" w:eastAsia="Arial" w:hAnsi="Arial"/>
        </w:rPr>
        <w:t xml:space="preserve">4.1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Problema</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Gravedad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 PDF de la Directiva estaba 100 % corrupto (8 MB de bytes vacíos)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Existían dos versiones contradictorias del “Anexo 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 CSV procesado tenía la codificación rota (acentos dañados)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La naturaleza “Infección asociada a la atención” estaba partida en 5 variantes</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 Impacto no cuadraba con la fórmula GEMSES en 33 eventos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bl>
    <w:p>
      <w:r>
        <w:rPr>
          <w:rFonts w:ascii="Arial" w:cs="Arial" w:eastAsia="Arial" w:hAnsi="Arial"/>
          <w:sz w:val="12"/>
          <w:szCs w:val="12"/>
        </w:rPr>
        <w:t xml:space="preserve"> </w:t>
      </w:r>
    </w:p>
    <w:p>
      <w:pPr>
        <w:pStyle w:val="Heading2"/>
      </w:pPr>
      <w:r>
        <w:rPr>
          <w:rFonts w:ascii="Arial" w:cs="Arial" w:eastAsia="Arial" w:hAnsi="Arial"/>
        </w:rPr>
        <w:t xml:space="preserve">4.2 Acciones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Carlos entregó la fuente oficial (Directiva ERSP - Anexo 2.xlsx)</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Fuente de verdad confirmada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la fórmula del Impacto</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Pesos 0.40 / 0.20 / 0.15 / 0.20 (Insatisfacción pesa 0.20, no 0.25)</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Regeneración del CSV desde el Excel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231 eventos, 12 naturalezas, UTF-8 correcto</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Normalización de la naturaleza “Infección”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 5 variantes de texto a 1 sola</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Adición de columnas de trazabilidad</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impacto, impacto_formula, verificacion (OK / REVISAR)</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Carga de la tabla en gemses.db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Antes la base estaba vacía</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Archivado de la versión no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Movida a processed/_descartado/</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2.8</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Respaldo del CSV anterior incorrecto</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Guardado con sufijo .bak</w:t>
            </w:r>
          </w:p>
        </w:tc>
      </w:tr>
    </w:tbl>
    <w:p>
      <w:r>
        <w:rPr>
          <w:rFonts w:ascii="Arial" w:cs="Arial" w:eastAsia="Arial" w:hAnsi="Arial"/>
          <w:sz w:val="12"/>
          <w:szCs w:val="12"/>
        </w:rPr>
        <w:t xml:space="preserve"> </w:t>
      </w:r>
    </w:p>
    <w:p>
      <w:pPr>
        <w:pStyle w:val="Heading2"/>
      </w:pPr>
      <w:r>
        <w:rPr>
          <w:rFonts w:ascii="Arial" w:cs="Arial" w:eastAsia="Arial" w:hAnsi="Arial"/>
        </w:rPr>
        <w:t xml:space="preserve">4.3 Observación sobre los 33 eventos a revisar</w:t>
      </w:r>
    </w:p>
    <w:p>
      <w:pPr>
        <w:spacing w:after="120"/>
      </w:pPr>
      <w:r>
        <w:rPr>
          <w:rFonts w:ascii="Arial" w:cs="Arial" w:eastAsia="Arial" w:hAnsi="Arial"/>
          <w:sz w:val="22"/>
          <w:szCs w:val="22"/>
        </w:rPr>
        <w:t xml:space="preserve">33 de los 231 eventos tienen un valor de Impacto que no cuadra con la fórmula GEMSES estándar. Se identificó una pista: en los eventos administrativos donde Estancia y Complicación valen 0, el valor oficial cuadra si el Sobrecosto pesara 0.35. Es probable que la directiva use una ponderación distinta para los procesos de soporte. Pendiente de confirmar con el texto de la directiva.</w:t>
      </w:r>
    </w:p>
    <w:p>
      <w:r>
        <w:br w:type="page"/>
      </w:r>
    </w:p>
    <w:p>
      <w:pPr>
        <w:pStyle w:val="Heading1"/>
      </w:pPr>
      <w:r>
        <w:rPr>
          <w:rFonts w:ascii="Arial" w:cs="Arial" w:eastAsia="Arial" w:hAnsi="Arial"/>
        </w:rPr>
        <w:t xml:space="preserve">5. Etapa 3 — Construcción del puente MIMIC ↔ Anexo 2</w:t>
      </w:r>
    </w:p>
    <w:p>
      <w:pPr>
        <w:spacing w:after="120"/>
      </w:pPr>
      <w:r>
        <w:rPr>
          <w:rFonts w:ascii="Arial" w:cs="Arial" w:eastAsia="Arial" w:hAnsi="Arial"/>
          <w:sz w:val="22"/>
          <w:szCs w:val="22"/>
        </w:rPr>
        <w:t xml:space="preserve">Reto central: las notas de MIMIC están en inglés y el Anexo 2 en español. La solución fue un diccionario de mapeo que traduce cada evento del Anexo 2 a sus patrones en inglés clínico.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Creación del diccionario de mapeo (mapeo_anexo2_ingles.json)</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 eventos → 186 patrones en inglés, con nivel de confianza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Construcción del notebook fase2_deteccion_anexo2.ipynb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Conecta MIMIC + gemses.db y aplica la Matriz GEMSES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del notebook de extremo a extremo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w:t>
            </w:r>
          </w:p>
        </w:tc>
      </w:tr>
    </w:tbl>
    <w:p>
      <w:r>
        <w:rPr>
          <w:rFonts w:ascii="Arial" w:cs="Arial" w:eastAsia="Arial" w:hAnsi="Arial"/>
          <w:sz w:val="12"/>
          <w:szCs w:val="12"/>
        </w:rPr>
        <w:t xml:space="preserve"> </w:t>
      </w:r>
    </w:p>
    <w:p>
      <w:pPr>
        <w:pStyle w:val="Heading2"/>
      </w:pPr>
      <w:r>
        <w:rPr>
          <w:rFonts w:ascii="Arial" w:cs="Arial" w:eastAsia="Arial" w:hAnsi="Arial"/>
        </w:rPr>
        <w:t xml:space="preserve">5.1 Resultado de la primera corrida (muestra de 2,000 epicrisis)</w:t>
      </w:r>
    </w:p>
    <w:p>
      <w:pPr>
        <w:pStyle w:val="ListParagraph"/>
        <w:numPr>
          <w:ilvl w:val="0"/>
          <w:numId w:val="2"/>
        </w:numPr>
        <w:spacing w:after="60"/>
      </w:pPr>
      <w:r>
        <w:rPr>
          <w:rFonts w:ascii="Arial" w:cs="Arial" w:eastAsia="Arial" w:hAnsi="Arial"/>
          <w:sz w:val="22"/>
          <w:szCs w:val="22"/>
        </w:rPr>
        <w:t xml:space="preserve">1,358 notas (67.9 %) con al menos un evento detectado.</w:t>
      </w:r>
    </w:p>
    <w:p>
      <w:pPr>
        <w:pStyle w:val="ListParagraph"/>
        <w:numPr>
          <w:ilvl w:val="0"/>
          <w:numId w:val="2"/>
        </w:numPr>
        <w:spacing w:after="60"/>
      </w:pPr>
      <w:r>
        <w:rPr>
          <w:rFonts w:ascii="Arial" w:cs="Arial" w:eastAsia="Arial" w:hAnsi="Arial"/>
          <w:sz w:val="22"/>
          <w:szCs w:val="22"/>
        </w:rPr>
        <w:t xml:space="preserve">2,500 detecciones, 35 tipos de evento distintos.</w:t>
      </w:r>
    </w:p>
    <w:p>
      <w:pPr>
        <w:pStyle w:val="ListParagraph"/>
        <w:numPr>
          <w:ilvl w:val="0"/>
          <w:numId w:val="2"/>
        </w:numPr>
        <w:spacing w:after="60"/>
      </w:pPr>
      <w:r>
        <w:rPr>
          <w:rFonts w:ascii="Arial" w:cs="Arial" w:eastAsia="Arial" w:hAnsi="Arial"/>
          <w:sz w:val="22"/>
          <w:szCs w:val="22"/>
        </w:rPr>
        <w:t xml:space="preserve">Matriz GEMSES calculada completa: Índice de Frecuencia, Impacto, Riesgo, Índice de Impacto y Nivel de Gestión.</w:t>
      </w:r>
    </w:p>
    <w:p>
      <w:r>
        <w:rPr>
          <w:rFonts w:ascii="Arial" w:cs="Arial" w:eastAsia="Arial" w:hAnsi="Arial"/>
          <w:sz w:val="12"/>
          <w:szCs w:val="12"/>
        </w:rPr>
        <w:t xml:space="preserve"> </w:t>
      </w:r>
    </w:p>
    <w:p>
      <w:pPr>
        <w:spacing w:after="120"/>
      </w:pPr>
      <w:r>
        <w:rPr>
          <w:rFonts w:ascii="Arial" w:cs="Arial" w:eastAsia="Arial" w:hAnsi="Arial"/>
          <w:sz w:val="22"/>
          <w:szCs w:val="22"/>
        </w:rPr>
        <w:t xml:space="preserve">Limitación documentada: el 67.9 % está inflado porque la detección por palabras clave no maneja la negación (“no pneumonia” se cuenta como positivo). Es lo que debe resolver la fase con BioBERT / ClinicalBERT.</w:t>
      </w:r>
    </w:p>
    <w:p>
      <w:r>
        <w:br w:type="page"/>
      </w:r>
    </w:p>
    <w:p>
      <w:pPr>
        <w:pStyle w:val="Heading1"/>
      </w:pPr>
      <w:r>
        <w:rPr>
          <w:rFonts w:ascii="Arial" w:cs="Arial" w:eastAsia="Arial" w:hAnsi="Arial"/>
        </w:rPr>
        <w:t xml:space="preserve">6. Etapa 4 — Preparación de la validación experta</w:t>
      </w:r>
    </w:p>
    <w:p>
      <w:pPr>
        <w:spacing w:after="120"/>
      </w:pPr>
      <w:r>
        <w:rPr>
          <w:rFonts w:ascii="Arial" w:cs="Arial" w:eastAsia="Arial" w:hAnsi="Arial"/>
          <w:sz w:val="22"/>
          <w:szCs w:val="22"/>
        </w:rPr>
        <w:t xml:space="preserve">Para medir la precisión inicial del método se preparó un set de 20 detecciones para revisión por juicio experto.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Selección de 20 detecciones estratificadas</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Mezcla de confianza alta, media y baja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Extracción del fragmento de texto (±350 caracteres)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Del campo discharge.text</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de los 20 fragmentos al castellano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 fragmento_es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Generación del CSV de validación y su guía</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Listo para llenado por el experto</w:t>
            </w:r>
          </w:p>
        </w:tc>
      </w:tr>
    </w:tbl>
    <w:p>
      <w:r>
        <w:br w:type="page"/>
      </w:r>
    </w:p>
    <w:p>
      <w:pPr>
        <w:pStyle w:val="Heading1"/>
      </w:pPr>
      <w:r>
        <w:rPr>
          <w:rFonts w:ascii="Arial" w:cs="Arial" w:eastAsia="Arial" w:hAnsi="Arial"/>
        </w:rPr>
        <w:t xml:space="preserve">7. Esquemas del proyecto</w:t>
      </w:r>
    </w:p>
    <w:p>
      <w:pPr>
        <w:pStyle w:val="Heading2"/>
      </w:pPr>
      <w:r>
        <w:rPr>
          <w:rFonts w:ascii="Arial" w:cs="Arial" w:eastAsia="Arial" w:hAnsi="Arial"/>
        </w:rPr>
        <w:t xml:space="preserve">7.1 Proceso de instalación de datos (5 pasos)</w:t>
      </w:r>
    </w:p>
    <w:p>
      <w:pPr>
        <w:shd w:fill="F2F2F2" w:val="clear"/>
        <w:spacing w:after="0" w:before="0"/>
      </w:pPr>
      <w:r>
        <w:rPr>
          <w:rFonts w:ascii="Consolas" w:cs="Consolas" w:eastAsia="Consolas" w:hAnsi="Consolas"/>
          <w:sz w:val="16"/>
          <w:szCs w:val="16"/>
        </w:rPr>
        <w:t xml:space="preserve">[1] ABRIR LA CAJA      Descomprimir mimic-iv-3.1.zip (10.3 GB) -&gt; 31 archivos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[2] ORDENAR            Renombrar carpeta a 'mimiciv'</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[3] VERIFICAR          Comparar huellas SHA-256 -&gt; 33/33 integros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[4] CONECTAR           Ejecutar notebook -&gt; 11 vistas de datos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[5] RADIOGRAFIA        Conteo y medicion del corpus</w:t>
      </w:r>
    </w:p>
    <w:p>
      <w:r>
        <w:rPr>
          <w:rFonts w:ascii="Arial" w:cs="Arial" w:eastAsia="Arial" w:hAnsi="Arial"/>
          <w:sz w:val="12"/>
          <w:szCs w:val="12"/>
        </w:rPr>
        <w:t xml:space="preserve"> </w:t>
      </w:r>
    </w:p>
    <w:p>
      <w:pPr>
        <w:pStyle w:val="Heading2"/>
      </w:pPr>
      <w:r>
        <w:rPr>
          <w:rFonts w:ascii="Arial" w:cs="Arial" w:eastAsia="Arial" w:hAnsi="Arial"/>
        </w:rPr>
        <w:t xml:space="preserve">7.2 Las dos llaves que conectan todo</w:t>
      </w:r>
    </w:p>
    <w:p>
      <w:pPr>
        <w:shd w:fill="F2F2F2" w:val="clear"/>
        <w:spacing w:after="0" w:before="0"/>
      </w:pPr>
      <w:r>
        <w:rPr>
          <w:rFonts w:ascii="Consolas" w:cs="Consolas" w:eastAsia="Consolas" w:hAnsi="Consolas"/>
          <w:sz w:val="16"/>
          <w:szCs w:val="16"/>
        </w:rPr>
        <w:t xml:space="preserve">subject_id  -&gt;  el PACIENTE          (como el DNI del paciente)</w:t>
      </w:r>
    </w:p>
    <w:p>
      <w:pPr>
        <w:shd w:fill="F2F2F2" w:val="clear"/>
        <w:spacing w:after="0" w:before="0"/>
      </w:pPr>
      <w:r>
        <w:rPr>
          <w:rFonts w:ascii="Consolas" w:cs="Consolas" w:eastAsia="Consolas" w:hAnsi="Consolas"/>
          <w:sz w:val="16"/>
          <w:szCs w:val="16"/>
        </w:rPr>
        <w:t xml:space="preserve">hadm_id     -&gt;  la HOSPITALIZACION   (como el numero de cuenta del internamiento)</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Con estas dos llaves se cruza cualquier tabla con cualquier otra.</w:t>
      </w:r>
    </w:p>
    <w:p>
      <w:r>
        <w:rPr>
          <w:rFonts w:ascii="Arial" w:cs="Arial" w:eastAsia="Arial" w:hAnsi="Arial"/>
          <w:sz w:val="12"/>
          <w:szCs w:val="12"/>
        </w:rPr>
        <w:t xml:space="preserve"> </w:t>
      </w:r>
    </w:p>
    <w:p>
      <w:pPr>
        <w:pStyle w:val="Heading2"/>
      </w:pPr>
      <w:r>
        <w:rPr>
          <w:rFonts w:ascii="Arial" w:cs="Arial" w:eastAsia="Arial" w:hAnsi="Arial"/>
        </w:rPr>
        <w:t xml:space="preserve">7.3 El puente español ↔ inglés</w:t>
      </w:r>
    </w:p>
    <w:p>
      <w:pPr>
        <w:shd w:fill="F2F2F2" w:val="clear"/>
        <w:spacing w:after="0" w:before="0"/>
      </w:pPr>
      <w:r>
        <w:rPr>
          <w:rFonts w:ascii="Consolas" w:cs="Consolas" w:eastAsia="Consolas" w:hAnsi="Consolas"/>
          <w:sz w:val="16"/>
          <w:szCs w:val="16"/>
        </w:rPr>
        <w:t xml:space="preserve">Anexo 2 (ES)                Patrones (EN)              Nota MIMIC (EN)</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202 "Caida de paciente"  -&gt; "fell","found on floor" -&gt; "...patient fell in</w:t>
      </w:r>
    </w:p>
    <w:p>
      <w:pPr>
        <w:shd w:fill="F2F2F2" w:val="clear"/>
        <w:spacing w:after="0" w:before="0"/>
      </w:pPr>
      <w:r>
        <w:rPr>
          <w:rFonts w:ascii="Consolas" w:cs="Consolas" w:eastAsia="Consolas" w:hAnsi="Consolas"/>
          <w:sz w:val="16"/>
          <w:szCs w:val="16"/>
        </w:rPr>
        <w:t xml:space="preserve">601 "Infeccion torrente  -&gt; "bacteremia","CLABSI"       the bathroom..."</w:t>
      </w:r>
    </w:p>
    <w:p>
      <w:pPr>
        <w:shd w:fill="F2F2F2" w:val="clear"/>
        <w:spacing w:after="0" w:before="0"/>
      </w:pPr>
      <w:r>
        <w:rPr>
          <w:rFonts w:ascii="Consolas" w:cs="Consolas" w:eastAsia="Consolas" w:hAnsi="Consolas"/>
          <w:sz w:val="16"/>
          <w:szCs w:val="16"/>
        </w:rPr>
        <w:t xml:space="preserve">     sanguineo"</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Cada patron tiene un nivel de confianza: alta / media / baja.</w:t>
      </w:r>
    </w:p>
    <w:p>
      <w:r>
        <w:rPr>
          <w:rFonts w:ascii="Arial" w:cs="Arial" w:eastAsia="Arial" w:hAnsi="Arial"/>
          <w:sz w:val="12"/>
          <w:szCs w:val="12"/>
        </w:rPr>
        <w:t xml:space="preserve"> </w:t>
      </w:r>
    </w:p>
    <w:p>
      <w:pPr>
        <w:pStyle w:val="Heading2"/>
      </w:pPr>
      <w:r>
        <w:rPr>
          <w:rFonts w:ascii="Arial" w:cs="Arial" w:eastAsia="Arial" w:hAnsi="Arial"/>
        </w:rPr>
        <w:t xml:space="preserve">7.4 Flujo de cálculo de la Matriz GEMSES</w:t>
      </w:r>
    </w:p>
    <w:p>
      <w:pPr>
        <w:shd w:fill="F2F2F2" w:val="clear"/>
        <w:spacing w:after="0" w:before="0"/>
      </w:pPr>
      <w:r>
        <w:rPr>
          <w:rFonts w:ascii="Consolas" w:cs="Consolas" w:eastAsia="Consolas" w:hAnsi="Consolas"/>
          <w:sz w:val="16"/>
          <w:szCs w:val="16"/>
        </w:rPr>
        <w:t xml:space="preserve">PASO A  Indice de Frecuencia    B = A / (suma de a)</w:t>
      </w:r>
    </w:p>
    <w:p>
      <w:pPr>
        <w:shd w:fill="F2F2F2" w:val="clear"/>
        <w:spacing w:after="0" w:before="0"/>
      </w:pPr>
      <w:r>
        <w:rPr>
          <w:rFonts w:ascii="Consolas" w:cs="Consolas" w:eastAsia="Consolas" w:hAnsi="Consolas"/>
          <w:sz w:val="16"/>
          <w:szCs w:val="16"/>
        </w:rPr>
        <w:t xml:space="preserve">PASO B  Impacto                 G = c*0.40 + d*0.20 + e*0.15 + f*0.20</w:t>
      </w:r>
    </w:p>
    <w:p>
      <w:pPr>
        <w:shd w:fill="F2F2F2" w:val="clear"/>
        <w:spacing w:after="0" w:before="0"/>
      </w:pPr>
      <w:r>
        <w:rPr>
          <w:rFonts w:ascii="Consolas" w:cs="Consolas" w:eastAsia="Consolas" w:hAnsi="Consolas"/>
          <w:sz w:val="16"/>
          <w:szCs w:val="16"/>
        </w:rPr>
        <w:t xml:space="preserve">                                (c=Tiempo d=Calidad e=Costos f=Satisfaccion)</w:t>
      </w:r>
    </w:p>
    <w:p>
      <w:pPr>
        <w:shd w:fill="F2F2F2" w:val="clear"/>
        <w:spacing w:after="0" w:before="0"/>
      </w:pPr>
      <w:r>
        <w:rPr>
          <w:rFonts w:ascii="Consolas" w:cs="Consolas" w:eastAsia="Consolas" w:hAnsi="Consolas"/>
          <w:sz w:val="16"/>
          <w:szCs w:val="16"/>
        </w:rPr>
        <w:t xml:space="preserve">PASO C  Riesgo                  H = B * G</w:t>
      </w:r>
    </w:p>
    <w:p>
      <w:pPr>
        <w:shd w:fill="F2F2F2" w:val="clear"/>
        <w:spacing w:after="0" w:before="0"/>
      </w:pPr>
      <w:r>
        <w:rPr>
          <w:rFonts w:ascii="Consolas" w:cs="Consolas" w:eastAsia="Consolas" w:hAnsi="Consolas"/>
          <w:sz w:val="16"/>
          <w:szCs w:val="16"/>
        </w:rPr>
        <w:t xml:space="preserve">PASO D  Indice de Impacto       I = H / (suma de H)</w:t>
      </w:r>
    </w:p>
    <w:p>
      <w:pPr>
        <w:shd w:fill="F2F2F2" w:val="clear"/>
        <w:spacing w:after="0" w:before="0"/>
      </w:pPr>
      <w:r>
        <w:rPr>
          <w:rFonts w:ascii="Consolas" w:cs="Consolas" w:eastAsia="Consolas" w:hAnsi="Consolas"/>
          <w:sz w:val="16"/>
          <w:szCs w:val="16"/>
        </w:rPr>
        <w:t xml:space="preserve">PASO E  Nivel de Gestion        J = I * 100</w:t>
      </w:r>
    </w:p>
    <w:p>
      <w:pPr>
        <w:shd w:fill="F2F2F2" w:val="clear"/>
        <w:spacing w:after="0" w:before="0"/>
      </w:pPr>
      <w:r>
        <w:rPr>
          <w:rFonts w:ascii="Consolas" w:cs="Consolas" w:eastAsia="Consolas" w:hAnsi="Consolas"/>
          <w:sz w:val="16"/>
          <w:szCs w:val="16"/>
        </w:rPr>
        <w:t xml:space="preserve">        Clasificacion por percentiles:</w:t>
      </w:r>
    </w:p>
    <w:p>
      <w:pPr>
        <w:shd w:fill="F2F2F2" w:val="clear"/>
        <w:spacing w:after="0" w:before="0"/>
      </w:pPr>
      <w:r>
        <w:rPr>
          <w:rFonts w:ascii="Consolas" w:cs="Consolas" w:eastAsia="Consolas" w:hAnsi="Consolas"/>
          <w:sz w:val="16"/>
          <w:szCs w:val="16"/>
        </w:rPr>
        <w:t xml:space="preserve">           P25 -&gt; VERDE     -&gt; gestiona el Servicio</w:t>
      </w:r>
    </w:p>
    <w:p>
      <w:pPr>
        <w:shd w:fill="F2F2F2" w:val="clear"/>
        <w:spacing w:after="0" w:before="0"/>
      </w:pPr>
      <w:r>
        <w:rPr>
          <w:rFonts w:ascii="Consolas" w:cs="Consolas" w:eastAsia="Consolas" w:hAnsi="Consolas"/>
          <w:sz w:val="16"/>
          <w:szCs w:val="16"/>
        </w:rPr>
        <w:t xml:space="preserve">           P50 -&gt; AMARILLO  -&gt; gestiona el Departamento</w:t>
      </w:r>
    </w:p>
    <w:p>
      <w:pPr>
        <w:shd w:fill="F2F2F2" w:val="clear"/>
        <w:spacing w:after="0" w:before="0"/>
      </w:pPr>
      <w:r>
        <w:rPr>
          <w:rFonts w:ascii="Consolas" w:cs="Consolas" w:eastAsia="Consolas" w:hAnsi="Consolas"/>
          <w:sz w:val="16"/>
          <w:szCs w:val="16"/>
        </w:rPr>
        <w:t xml:space="preserve">           P75 -&gt; ROJO      -&gt; gestiona el Director</w:t>
      </w:r>
    </w:p>
    <w:p>
      <w:r>
        <w:rPr>
          <w:rFonts w:ascii="Arial" w:cs="Arial" w:eastAsia="Arial" w:hAnsi="Arial"/>
          <w:sz w:val="12"/>
          <w:szCs w:val="12"/>
        </w:rPr>
        <w:t xml:space="preserve"> </w:t>
      </w:r>
    </w:p>
    <w:p>
      <w:pPr>
        <w:pStyle w:val="Heading2"/>
      </w:pPr>
      <w:r>
        <w:rPr>
          <w:rFonts w:ascii="Arial" w:cs="Arial" w:eastAsia="Arial" w:hAnsi="Arial"/>
        </w:rPr>
        <w:t xml:space="preserve">7.5 Arquitectura del flujo de datos</w:t>
      </w:r>
    </w:p>
    <w:p>
      <w:pPr>
        <w:shd w:fill="F2F2F2" w:val="clear"/>
        <w:spacing w:after="0" w:before="0"/>
      </w:pPr>
      <w:r>
        <w:rPr>
          <w:rFonts w:ascii="Consolas" w:cs="Consolas" w:eastAsia="Consolas" w:hAnsi="Consolas"/>
          <w:sz w:val="16"/>
          <w:szCs w:val="16"/>
        </w:rPr>
        <w:t xml:space="preserve">  FUENTE 1: MIMIC                      FUENTE 2: Anexo 2</w:t>
      </w:r>
    </w:p>
    <w:p>
      <w:pPr>
        <w:shd w:fill="F2F2F2" w:val="clear"/>
        <w:spacing w:after="0" w:before="0"/>
      </w:pPr>
      <w:r>
        <w:rPr>
          <w:rFonts w:ascii="Consolas" w:cs="Consolas" w:eastAsia="Consolas" w:hAnsi="Consolas"/>
          <w:sz w:val="16"/>
          <w:szCs w:val="16"/>
        </w:rPr>
        <w:t xml:space="preserve">  discharge.text  ----.                231 eventos valorados</w:t>
      </w:r>
    </w:p>
    <w:p>
      <w:pPr>
        <w:shd w:fill="F2F2F2" w:val="clear"/>
        <w:spacing w:after="0" w:before="0"/>
      </w:pPr>
      <w:r>
        <w:rPr>
          <w:rFonts w:ascii="Consolas" w:cs="Consolas" w:eastAsia="Consolas" w:hAnsi="Consolas"/>
          <w:sz w:val="16"/>
          <w:szCs w:val="16"/>
        </w:rPr>
        <w:t xml:space="preserve">  (331,793 notas)     |                por panel experto</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BioBERT / reglas detectan                 |</w:t>
      </w:r>
    </w:p>
    <w:p>
      <w:pPr>
        <w:shd w:fill="F2F2F2" w:val="clear"/>
        <w:spacing w:after="0" w:before="0"/>
      </w:pPr>
      <w:r>
        <w:rPr>
          <w:rFonts w:ascii="Consolas" w:cs="Consolas" w:eastAsia="Consolas" w:hAnsi="Consolas"/>
          <w:sz w:val="16"/>
          <w:szCs w:val="16"/>
        </w:rPr>
        <w:t xml:space="preserve">   el evento adverso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v                      v</w:t>
      </w:r>
    </w:p>
    <w:p>
      <w:pPr>
        <w:shd w:fill="F2F2F2" w:val="clear"/>
        <w:spacing w:after="0" w:before="0"/>
      </w:pPr>
      <w:r>
        <w:rPr>
          <w:rFonts w:ascii="Consolas" w:cs="Consolas" w:eastAsia="Consolas" w:hAnsi="Consolas"/>
          <w:sz w:val="16"/>
          <w:szCs w:val="16"/>
        </w:rPr>
        <w:t xml:space="preserve">              se codifica (id_evento)  -&gt;  Matriz GEMSES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Verde / Amarillo / Rojo</w:t>
      </w:r>
    </w:p>
    <w:p>
      <w:r>
        <w:br w:type="page"/>
      </w:r>
    </w:p>
    <w:p>
      <w:pPr>
        <w:pStyle w:val="Heading1"/>
      </w:pPr>
      <w:r>
        <w:rPr>
          <w:rFonts w:ascii="Arial" w:cs="Arial" w:eastAsia="Arial" w:hAnsi="Arial"/>
        </w:rPr>
        <w:t xml:space="preserve">8. Estructura de archivos del proyecto</w:t>
      </w:r>
    </w:p>
    <w:p>
      <w:pPr>
        <w:pStyle w:val="Heading2"/>
      </w:pPr>
      <w:r>
        <w:rPr>
          <w:rFonts w:ascii="Arial" w:cs="Arial" w:eastAsia="Arial" w:hAnsi="Arial"/>
        </w:rPr>
        <w:t xml:space="preserve">8.1 Archivos producidos en C:\BASE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Anexo 2 corregido desde la fuente oficial</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processed/anexo2_eventos_adversos.csv.bak_...</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Respaldo del CSV anterior incorrecto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Versión no oficial archivada con su LEEME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db/gemses.db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 creada</w:t>
            </w:r>
          </w:p>
        </w:tc>
      </w:tr>
    </w:tbl>
    <w:p>
      <w:r>
        <w:rPr>
          <w:rFonts w:ascii="Arial" w:cs="Arial" w:eastAsia="Arial" w:hAnsi="Arial"/>
          <w:sz w:val="12"/>
          <w:szCs w:val="12"/>
        </w:rPr>
        <w:t xml:space="preserve"> </w:t>
      </w:r>
    </w:p>
    <w:p>
      <w:pPr>
        <w:pStyle w:val="Heading2"/>
      </w:pPr>
      <w:r>
        <w:rPr>
          <w:rFonts w:ascii="Arial" w:cs="Arial" w:eastAsia="Arial" w:hAnsi="Arial"/>
        </w:rPr>
        <w:t xml:space="preserve">8.2 Archivos producidos en C:\MIMIC\tesis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notebooks/fase2_deteccion_anexo2.ipynb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del puente MIMIC ↔ Anexo 2</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notebooks/mapeo_anexo2_ingles.json</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de mapeo español ↔ inglés (v0.2)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fase2_detecciones_weak_supervision.csv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Corpus pre-etiquetado (2,500 filas)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fase2_matriz_gemses_muestra.csv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GEMSES de la muestra (35 eventos)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fase2_validacion_experta_20notas.csv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Set de 20 detecciones, validado por experto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fase2_validacion_experta_GUIA.txt</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Guía de criterios para el experto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fase2_analisis_validacion.csv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Categoría de error asignada a cada FP</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docs/06_bitacora/Informe_Avance_GEMSES_MIMIC_2026-05-17.docx</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Este informe (versión 2)</w:t>
            </w:r>
          </w:p>
        </w:tc>
      </w:tr>
    </w:tbl>
    <w:p>
      <w:r>
        <w:br w:type="page"/>
      </w:r>
    </w:p>
    <w:p>
      <w:pPr>
        <w:pStyle w:val="Heading1"/>
      </w:pPr>
      <w:r>
        <w:rPr>
          <w:rFonts w:ascii="Arial" w:cs="Arial" w:eastAsia="Arial" w:hAnsi="Arial"/>
        </w:rPr>
        <w:t xml:space="preserve">9. Roadmap y estado del proyecto</w:t>
      </w:r>
    </w:p>
    <w:p>
      <w:pPr>
        <w:shd w:fill="F2F2F2" w:val="clear"/>
        <w:spacing w:after="0" w:before="0"/>
      </w:pPr>
      <w:r>
        <w:rPr>
          <w:rFonts w:ascii="Consolas" w:cs="Consolas" w:eastAsia="Consolas" w:hAnsi="Consolas"/>
          <w:sz w:val="16"/>
          <w:szCs w:val="16"/>
        </w:rPr>
        <w:t xml:space="preserve">[OK ] Acceso PhysioNet + DUA firmado</w:t>
      </w:r>
    </w:p>
    <w:p>
      <w:pPr>
        <w:shd w:fill="F2F2F2" w:val="clear"/>
        <w:spacing w:after="0" w:before="0"/>
      </w:pPr>
      <w:r>
        <w:rPr>
          <w:rFonts w:ascii="Consolas" w:cs="Consolas" w:eastAsia="Consolas" w:hAnsi="Consolas"/>
          <w:sz w:val="16"/>
          <w:szCs w:val="16"/>
        </w:rPr>
        <w:t xml:space="preserve">[OK ] Datos descargados</w:t>
      </w:r>
    </w:p>
    <w:p>
      <w:pPr>
        <w:shd w:fill="F2F2F2" w:val="clear"/>
        <w:spacing w:after="0" w:before="0"/>
      </w:pPr>
      <w:r>
        <w:rPr>
          <w:rFonts w:ascii="Consolas" w:cs="Consolas" w:eastAsia="Consolas" w:hAnsi="Consolas"/>
          <w:sz w:val="16"/>
          <w:szCs w:val="16"/>
        </w:rPr>
        <w:t xml:space="preserve">[OK ] Datos instalados, verificados y conectados</w:t>
      </w:r>
    </w:p>
    <w:p>
      <w:pPr>
        <w:shd w:fill="F2F2F2" w:val="clear"/>
        <w:spacing w:after="0" w:before="0"/>
      </w:pPr>
      <w:r>
        <w:rPr>
          <w:rFonts w:ascii="Consolas" w:cs="Consolas" w:eastAsia="Consolas" w:hAnsi="Consolas"/>
          <w:sz w:val="16"/>
          <w:szCs w:val="16"/>
        </w:rPr>
        <w:t xml:space="preserve">[OK ] Anexo 2 corregido desde la directiva oficial</w:t>
      </w:r>
    </w:p>
    <w:p>
      <w:pPr>
        <w:shd w:fill="F2F2F2" w:val="clear"/>
        <w:spacing w:after="0" w:before="0"/>
      </w:pPr>
      <w:r>
        <w:rPr>
          <w:rFonts w:ascii="Consolas" w:cs="Consolas" w:eastAsia="Consolas" w:hAnsi="Consolas"/>
          <w:sz w:val="16"/>
          <w:szCs w:val="16"/>
        </w:rPr>
        <w:t xml:space="preserve">[OK ] Puente MIMIC &lt;-&gt; Anexo 2 construido y funcionando</w:t>
      </w:r>
    </w:p>
    <w:p>
      <w:pPr>
        <w:shd w:fill="F2F2F2" w:val="clear"/>
        <w:spacing w:after="0" w:before="0"/>
      </w:pPr>
      <w:r>
        <w:rPr>
          <w:rFonts w:ascii="Consolas" w:cs="Consolas" w:eastAsia="Consolas" w:hAnsi="Consolas"/>
          <w:sz w:val="16"/>
          <w:szCs w:val="16"/>
        </w:rPr>
        <w:t xml:space="preserve">[OK ] Validacion experta de 20 notas - PRECISION 45%  (17/05/2026)</w:t>
      </w:r>
    </w:p>
    <w:p>
      <w:pPr>
        <w:shd w:fill="F2F2F2" w:val="clear"/>
        <w:spacing w:after="0" w:before="0"/>
      </w:pPr>
      <w:r>
        <w:rPr>
          <w:rFonts w:ascii="Consolas" w:cs="Consolas" w:eastAsia="Consolas" w:hAnsi="Consolas"/>
          <w:sz w:val="16"/>
          <w:szCs w:val="16"/>
        </w:rPr>
        <w:t xml:space="preserve">[&gt;&gt; ] Notebook BioBERT / ClinicalBERT  (siguiente)</w:t>
      </w:r>
    </w:p>
    <w:p>
      <w:pPr>
        <w:shd w:fill="F2F2F2" w:val="clear"/>
        <w:spacing w:after="0" w:before="0"/>
      </w:pPr>
      <w:r>
        <w:rPr>
          <w:rFonts w:ascii="Consolas" w:cs="Consolas" w:eastAsia="Consolas" w:hAnsi="Consolas"/>
          <w:sz w:val="16"/>
          <w:szCs w:val="16"/>
        </w:rPr>
        <w:t xml:space="preserve">[   ] Fase 1: corpus etiquetado de 5,000 notas</w:t>
      </w:r>
    </w:p>
    <w:p>
      <w:pPr>
        <w:shd w:fill="F2F2F2" w:val="clear"/>
        <w:spacing w:after="0" w:before="0"/>
      </w:pPr>
      <w:r>
        <w:rPr>
          <w:rFonts w:ascii="Consolas" w:cs="Consolas" w:eastAsia="Consolas" w:hAnsi="Consolas"/>
          <w:sz w:val="16"/>
          <w:szCs w:val="16"/>
        </w:rPr>
        <w:t xml:space="preserve">[   ] Fase 3: modelo multimodal (texto + tabular)</w:t>
      </w:r>
    </w:p>
    <w:p>
      <w:pPr>
        <w:shd w:fill="F2F2F2" w:val="clear"/>
        <w:spacing w:after="0" w:before="0"/>
      </w:pPr>
      <w:r>
        <w:rPr>
          <w:rFonts w:ascii="Consolas" w:cs="Consolas" w:eastAsia="Consolas" w:hAnsi="Consolas"/>
          <w:sz w:val="16"/>
          <w:szCs w:val="16"/>
        </w:rPr>
        <w:t xml:space="preserve">[   ] Fase 4: aplicacion de la Matriz GEMSES</w:t>
      </w:r>
    </w:p>
    <w:p>
      <w:pPr>
        <w:shd w:fill="F2F2F2" w:val="clear"/>
        <w:spacing w:after="0" w:before="0"/>
      </w:pPr>
      <w:r>
        <w:rPr>
          <w:rFonts w:ascii="Consolas" w:cs="Consolas" w:eastAsia="Consolas" w:hAnsi="Consolas"/>
          <w:sz w:val="16"/>
          <w:szCs w:val="16"/>
        </w:rPr>
        <w:t xml:space="preserve">[   ] Fase 5: validacion con panel experto</w:t>
      </w:r>
    </w:p>
    <w:p>
      <w:pPr>
        <w:shd w:fill="F2F2F2" w:val="clear"/>
        <w:spacing w:after="0" w:before="0"/>
      </w:pPr>
      <w:r>
        <w:rPr>
          <w:rFonts w:ascii="Consolas" w:cs="Consolas" w:eastAsia="Consolas" w:hAnsi="Consolas"/>
          <w:sz w:val="16"/>
          <w:szCs w:val="16"/>
        </w:rPr>
        <w:t xml:space="preserve">[   ] Fase 6: transferencia al castellano</w:t>
      </w:r>
    </w:p>
    <w:p>
      <w:r>
        <w:br w:type="page"/>
      </w:r>
    </w:p>
    <w:p>
      <w:pPr>
        <w:pStyle w:val="Heading1"/>
      </w:pPr>
      <w:r>
        <w:rPr>
          <w:rFonts w:ascii="Arial" w:cs="Arial" w:eastAsia="Arial" w:hAnsi="Arial"/>
        </w:rPr>
        <w:t xml:space="preserve">10. Puntos pendientes y decisiones</w:t>
      </w:r>
    </w:p>
    <w:p>
      <w:pPr>
        <w:pStyle w:val="ListParagraph"/>
        <w:numPr>
          <w:ilvl w:val="0"/>
          <w:numId w:val="2"/>
        </w:numPr>
        <w:spacing w:after="60"/>
      </w:pPr>
      <w:r>
        <w:rPr>
          <w:rFonts w:ascii="Arial" w:cs="Arial" w:eastAsia="Arial" w:hAnsi="Arial"/>
          <w:sz w:val="22"/>
          <w:szCs w:val="22"/>
        </w:rPr>
        <w:t xml:space="preserve">Los 33 eventos marcados REVISAR: confirmar con el texto de la directiva si los procesos de soporte usan una ponderación distinta de Sobrecosto (0.35 en lugar de 0.15).</w:t>
      </w:r>
    </w:p>
    <w:p>
      <w:pPr>
        <w:pStyle w:val="ListParagraph"/>
        <w:numPr>
          <w:ilvl w:val="0"/>
          <w:numId w:val="2"/>
        </w:numPr>
        <w:spacing w:after="60"/>
      </w:pPr>
      <w:r>
        <w:rPr>
          <w:rFonts w:ascii="Arial" w:cs="Arial" w:eastAsia="Arial" w:hAnsi="Arial"/>
          <w:sz w:val="22"/>
          <w:szCs w:val="22"/>
        </w:rPr>
        <w:t xml:space="preserve">Power BI: si existía un tablero conectado al CSV no oficial archivado, debe reapuntarse al CSV corregido.</w:t>
      </w:r>
    </w:p>
    <w:p>
      <w:pPr>
        <w:pStyle w:val="ListParagraph"/>
        <w:numPr>
          <w:ilvl w:val="0"/>
          <w:numId w:val="2"/>
        </w:numPr>
        <w:spacing w:after="60"/>
      </w:pPr>
      <w:r>
        <w:rPr>
          <w:rFonts w:ascii="Arial" w:cs="Arial" w:eastAsia="Arial" w:hAnsi="Arial"/>
          <w:sz w:val="22"/>
          <w:szCs w:val="22"/>
        </w:rPr>
        <w:t xml:space="preserve">El PDF corrupto de la Directiva debe reemplazarse por una copia que abra correctamente, como respaldo de la fuente normativa.</w:t>
      </w:r>
    </w:p>
    <w:p>
      <w:pPr>
        <w:pStyle w:val="ListParagraph"/>
        <w:numPr>
          <w:ilvl w:val="0"/>
          <w:numId w:val="2"/>
        </w:numPr>
        <w:spacing w:after="60"/>
      </w:pPr>
      <w:r>
        <w:rPr>
          <w:rFonts w:ascii="Arial" w:cs="Arial" w:eastAsia="Arial" w:hAnsi="Arial"/>
          <w:sz w:val="22"/>
          <w:szCs w:val="22"/>
        </w:rPr>
        <w:t xml:space="preserve">Reclasificar “alta voluntaria contra opinión médica” (AMA): no tiene id_evento exacto en el Anexo 2; conviene aclarar con la directiva si va bajo Gestión de la Organización u otra naturaleza.</w:t>
      </w:r>
    </w:p>
    <w:p>
      <w:r>
        <w:br w:type="page"/>
      </w:r>
    </w:p>
    <w:p>
      <w:pPr>
        <w:pStyle w:val="Heading1"/>
      </w:pPr>
      <w:r>
        <w:rPr>
          <w:rFonts w:ascii="Arial" w:cs="Arial" w:eastAsia="Arial" w:hAnsi="Arial"/>
        </w:rPr>
        <w:t xml:space="preserve">11. Resultados de la validación experta (17/05/2026)</w:t>
      </w:r>
    </w:p>
    <w:p>
      <w:pPr>
        <w:spacing w:after="120"/>
      </w:pPr>
      <w:r>
        <w:rPr>
          <w:rFonts w:ascii="Arial" w:cs="Arial" w:eastAsia="Arial" w:hAnsi="Arial"/>
          <w:sz w:val="22"/>
          <w:szCs w:val="22"/>
        </w:rPr>
        <w:t xml:space="preserve">Carlos Pérez Pérez, en su rol de experto en gestión de calidad de EsSalud y autor del Modelo GEMSES, revisó y dictaminó las 20 detecciones del set de validación, respondiendo por cada una las tres preguntas de criterio (evento mencionado, afirmado, ocurrido en esta hospitalización) y emitiendo el dictamen final de Verdadero Positivo o Falso Positivo.</w:t>
      </w:r>
    </w:p>
    <w:p>
      <w:r>
        <w:rPr>
          <w:rFonts w:ascii="Arial" w:cs="Arial" w:eastAsia="Arial" w:hAnsi="Arial"/>
          <w:sz w:val="12"/>
          <w:szCs w:val="12"/>
        </w:rPr>
        <w:t xml:space="preserve"> </w:t>
      </w:r>
    </w:p>
    <w:p>
      <w:pPr>
        <w:pStyle w:val="Heading2"/>
      </w:pPr>
      <w:r>
        <w:rPr>
          <w:rFonts w:ascii="Arial" w:cs="Arial" w:eastAsia="Arial" w:hAnsi="Arial"/>
        </w:rPr>
        <w:t xml:space="preserve">11.1 Precisión inicial del método</w:t>
      </w:r>
    </w:p>
    <w:p>
      <w:pPr>
        <w:shd w:fill="F2F2F2" w:val="clear"/>
        <w:spacing w:after="0" w:before="0"/>
      </w:pPr>
      <w:r>
        <w:rPr>
          <w:rFonts w:ascii="Consolas" w:cs="Consolas" w:eastAsia="Consolas" w:hAnsi="Consolas"/>
          <w:sz w:val="16"/>
          <w:szCs w:val="16"/>
        </w:rPr>
        <w:t xml:space="preserve">   VERDADEROS POSITIVOS   :  9</w:t>
      </w:r>
    </w:p>
    <w:p>
      <w:pPr>
        <w:shd w:fill="F2F2F2" w:val="clear"/>
        <w:spacing w:after="0" w:before="0"/>
      </w:pPr>
      <w:r>
        <w:rPr>
          <w:rFonts w:ascii="Consolas" w:cs="Consolas" w:eastAsia="Consolas" w:hAnsi="Consolas"/>
          <w:sz w:val="16"/>
          <w:szCs w:val="16"/>
        </w:rPr>
        <w:t xml:space="preserve">   FALSOS POSITIVOS       : 11</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PRECISION              : 45.0 %</w:t>
      </w:r>
    </w:p>
    <w:p>
      <w:r>
        <w:rPr>
          <w:rFonts w:ascii="Arial" w:cs="Arial" w:eastAsia="Arial" w:hAnsi="Arial"/>
          <w:sz w:val="12"/>
          <w:szCs w:val="12"/>
        </w:rPr>
        <w:t xml:space="preserve"> </w:t>
      </w:r>
    </w:p>
    <w:p>
      <w:pPr>
        <w:pStyle w:val="Heading2"/>
      </w:pPr>
      <w:r>
        <w:rPr>
          <w:rFonts w:ascii="Arial" w:cs="Arial" w:eastAsia="Arial" w:hAnsi="Arial"/>
        </w:rPr>
        <w:t xml:space="preserve">11.2 Precisión por nivel de confianza del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700"/>
        <w:gridCol w:w="26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Confianza</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VP</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FP</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Total</w:t>
            </w:r>
          </w:p>
        </w:tc>
        <w:tc>
          <w:tcPr>
            <w:tcW w:type="dxa" w:w="2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Precisión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50.0 %</w:t>
            </w:r>
          </w:p>
        </w:tc>
      </w:tr>
      <w:tr>
        <w:tc>
          <w:tcPr>
            <w:tcW w:type="dxa" w:w="2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c>
          <w:tcPr>
            <w:tcW w:type="dxa" w:w="13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13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w:t>
            </w:r>
          </w:p>
        </w:tc>
        <w:tc>
          <w:tcPr>
            <w:tcW w:type="dxa" w:w="2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40.0 %</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baja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50.0 %</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Observación: la confianza “alta” del patrón no fue notoriamente mejor que la “baja”. Esto indica que los falsos positivos no provienen de patrones imprecisos sino de problemas de contexto (negación, temporalidad, propósito de la mención) que ningún sistema basado en reglas simples puede resolver.</w:t>
      </w:r>
    </w:p>
    <w:p>
      <w:r>
        <w:rPr>
          <w:rFonts w:ascii="Arial" w:cs="Arial" w:eastAsia="Arial" w:hAnsi="Arial"/>
          <w:sz w:val="12"/>
          <w:szCs w:val="12"/>
        </w:rPr>
        <w:t xml:space="preserve"> </w:t>
      </w:r>
    </w:p>
    <w:p>
      <w:pPr>
        <w:pStyle w:val="Heading2"/>
      </w:pPr>
      <w:r>
        <w:rPr>
          <w:rFonts w:ascii="Arial" w:cs="Arial" w:eastAsia="Arial" w:hAnsi="Arial"/>
        </w:rPr>
        <w:t xml:space="preserve">11.3 Análisis de los 11 falsos positivos por categoría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44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Tipo de error</w:t>
            </w:r>
          </w:p>
        </w:tc>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Ejemplo de la validación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Negación</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n8 “C. difficile NEGATIVO”, n10 “No pneumothorax”, n13 “No skin breakdown”</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 es de esta hospitalización</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n4 incompatibilidad ABO del donante, n12 celulitis de ingreso anterior</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Antecedente familiar</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n11 peritonitis = causa de muerte del padre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 de ingreso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n18 hepatitis = diagnóstico de ingreso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 o mención de guía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n5 “profilaxis de endocarditis NO recomendada”</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Hipotético / descartado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 “interacción de fármacos: etiología menos común, improbable”</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Coincidencia casual de palabra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n9 “steri-strips will fall off” — no es caída</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Mapeo conceptualmente incorrecto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n16 AMA discharge ≠ Vagabundeo/fugas (códigos distintos)</w:t>
            </w:r>
          </w:p>
        </w:tc>
      </w:tr>
    </w:tbl>
    <w:p>
      <w:r>
        <w:rPr>
          <w:rFonts w:ascii="Arial" w:cs="Arial" w:eastAsia="Arial" w:hAnsi="Arial"/>
          <w:sz w:val="12"/>
          <w:szCs w:val="12"/>
        </w:rPr>
        <w:t xml:space="preserve"> </w:t>
      </w:r>
    </w:p>
    <w:p>
      <w:pPr>
        <w:pStyle w:val="Heading2"/>
      </w:pPr>
      <w:r>
        <w:rPr>
          <w:rFonts w:ascii="Arial" w:cs="Arial" w:eastAsia="Arial" w:hAnsi="Arial"/>
        </w:rPr>
        <w:t xml:space="preserve">11.4 Hallazgo metodológico clave</w:t>
      </w:r>
    </w:p>
    <w:p>
      <w:pPr>
        <w:spacing w:after="120"/>
      </w:pPr>
      <w:r>
        <w:rPr>
          <w:rFonts w:ascii="Arial" w:cs="Arial" w:eastAsia="Arial" w:hAnsi="Arial"/>
          <w:sz w:val="22"/>
          <w:szCs w:val="22"/>
        </w:rPr>
        <w:t xml:space="preserve">En el caso 16, el juicio experto identificó algo que el sistema no podría haber descubierto solo: en la taxonomía de EsSalud, “alta voluntaria contra opinión médica” (AMA) y “Vagabundeo/fugas” (id 1013) son eventos administrativamente distintos. El patrón “left against medical advice” fue removido del id 1013 en la versión 0.2 del mapeo. AMA queda pendiente de codificación correcta con la directiva.</w:t>
      </w:r>
    </w:p>
    <w:p>
      <w:r>
        <w:rPr>
          <w:rFonts w:ascii="Arial" w:cs="Arial" w:eastAsia="Arial" w:hAnsi="Arial"/>
          <w:sz w:val="12"/>
          <w:szCs w:val="12"/>
        </w:rPr>
        <w:t xml:space="preserve"> </w:t>
      </w:r>
    </w:p>
    <w:p>
      <w:pPr>
        <w:pStyle w:val="Heading2"/>
      </w:pPr>
      <w:r>
        <w:rPr>
          <w:rFonts w:ascii="Arial" w:cs="Arial" w:eastAsia="Arial" w:hAnsi="Arial"/>
        </w:rPr>
        <w:t xml:space="preserve">11.5 Implicaciones para el Capítulo III</w:t>
      </w:r>
    </w:p>
    <w:p>
      <w:pPr>
        <w:pStyle w:val="ListParagraph"/>
        <w:numPr>
          <w:ilvl w:val="0"/>
          <w:numId w:val="2"/>
        </w:numPr>
        <w:spacing w:after="60"/>
      </w:pPr>
      <w:r>
        <w:rPr>
          <w:rFonts w:ascii="Arial" w:cs="Arial" w:eastAsia="Arial" w:hAnsi="Arial"/>
          <w:sz w:val="22"/>
          <w:szCs w:val="22"/>
        </w:rPr>
        <w:t xml:space="preserve">Baseline cuantitativo medido: precisión de 45 % con reglas simples, primer dato empírico del proyecto.</w:t>
      </w:r>
    </w:p>
    <w:p>
      <w:pPr>
        <w:pStyle w:val="ListParagraph"/>
        <w:numPr>
          <w:ilvl w:val="0"/>
          <w:numId w:val="2"/>
        </w:numPr>
        <w:spacing w:after="60"/>
      </w:pPr>
      <w:r>
        <w:rPr>
          <w:rFonts w:ascii="Arial" w:cs="Arial" w:eastAsia="Arial" w:hAnsi="Arial"/>
          <w:sz w:val="22"/>
          <w:szCs w:val="22"/>
        </w:rPr>
        <w:t xml:space="preserve">Caracterización de los modos de falla: 8 categorías de error documentadas con ejemplos reales.</w:t>
      </w:r>
    </w:p>
    <w:p>
      <w:pPr>
        <w:pStyle w:val="ListParagraph"/>
        <w:numPr>
          <w:ilvl w:val="0"/>
          <w:numId w:val="2"/>
        </w:numPr>
        <w:spacing w:after="60"/>
      </w:pPr>
      <w:r>
        <w:rPr>
          <w:rFonts w:ascii="Arial" w:cs="Arial" w:eastAsia="Arial" w:hAnsi="Arial"/>
          <w:sz w:val="22"/>
          <w:szCs w:val="22"/>
        </w:rPr>
        <w:t xml:space="preserve">Justificación del paso siguiente: los 3 errores más frecuentes (negación, temporalidad, propósito de la mención) requieren comprensión contextual, que es exactamente lo que aportan BioBERT y ClinicalBERT. No es un capricho técnico sino una respuesta directa a los datos.</w:t>
      </w:r>
    </w:p>
    <w:p>
      <w:pPr>
        <w:pStyle w:val="ListParagraph"/>
        <w:numPr>
          <w:ilvl w:val="0"/>
          <w:numId w:val="2"/>
        </w:numPr>
        <w:spacing w:after="60"/>
      </w:pPr>
      <w:r>
        <w:rPr>
          <w:rFonts w:ascii="Arial" w:cs="Arial" w:eastAsia="Arial" w:hAnsi="Arial"/>
          <w:sz w:val="22"/>
          <w:szCs w:val="22"/>
        </w:rPr>
        <w:t xml:space="preserve">Aporte irreemplazable del juicio experto: la validación humana no solo mide precisión, también detecta errores de conceptualización del modelo (caso 16) que el sistema no podría auto-corregir.</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Informe de Avance v2 — Tesis GEMSES-MIMIC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2026-05-18T01:07:32.971Z</dcterms:created>
  <dcterms:modified xsi:type="dcterms:W3CDTF">2026-05-18T01:07:32.973Z</dcterms:modified>
</cp:coreProperties>
</file>

<file path=docProps/custom.xml><?xml version="1.0" encoding="utf-8"?>
<Properties xmlns="http://schemas.openxmlformats.org/officeDocument/2006/custom-properties" xmlns:vt="http://schemas.openxmlformats.org/officeDocument/2006/docPropsVTypes"/>
</file>