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56"/>
          <w:szCs w:val="56"/>
        </w:rPr>
        <w:t xml:space="preserve">INFORME DE AVANCE</w:t>
      </w:r>
    </w:p>
    <w:p>
      <w:pPr>
        <w:spacing w:before="120"/>
        <w:jc w:val="center"/>
      </w:pPr>
      <w:r>
        <w:rPr>
          <w:rFonts w:ascii="Arial" w:cs="Arial" w:eastAsia="Arial" w:hAnsi="Arial"/>
          <w:sz w:val="30"/>
          <w:szCs w:val="30"/>
        </w:rPr>
        <w:t xml:space="preserve">Pipeline de detección y priorización de eventos adversos</w:t>
      </w:r>
    </w:p>
    <w:p>
      <w:pPr>
        <w:spacing w:before="60"/>
        <w:jc w:val="center"/>
      </w:pPr>
      <w:r>
        <w:rPr>
          <w:rFonts w:ascii="Arial" w:cs="Arial" w:eastAsia="Arial" w:hAnsi="Arial"/>
          <w:sz w:val="30"/>
          <w:szCs w:val="30"/>
        </w:rPr>
        <w:t xml:space="preserve">Modelo GEMSES sobre el dataset MIMIC-IV</w:t>
      </w:r>
    </w:p>
    <w:p>
      <w:pPr>
        <w:spacing w:before="900"/>
        <w:jc w:val="center"/>
      </w:pPr>
      <w:r>
        <w:rPr>
          <w:rFonts w:ascii="Arial" w:cs="Arial" w:eastAsia="Arial" w:hAnsi="Arial"/>
          <w:sz w:val="24"/>
          <w:szCs w:val="24"/>
        </w:rPr>
        <w:t xml:space="preserve">Tesis de Maestría en Inteligencia Artificial — UNI</w:t>
      </w:r>
    </w:p>
    <w:p>
      <w:pPr>
        <w:spacing w:before="60"/>
        <w:jc w:val="center"/>
      </w:pPr>
      <w:r>
        <w:rPr>
          <w:rFonts w:ascii="Arial" w:cs="Arial" w:eastAsia="Arial" w:hAnsi="Arial"/>
          <w:sz w:val="24"/>
          <w:szCs w:val="24"/>
        </w:rPr>
        <w:t xml:space="preserve">Curso MIA 303 — Proyectos de Investigación I</w:t>
      </w:r>
    </w:p>
    <w:p>
      <w:pPr>
        <w:spacing w:before="600"/>
        <w:jc w:val="center"/>
      </w:pPr>
      <w:r>
        <w:rPr>
          <w:rFonts w:ascii="Arial" w:cs="Arial" w:eastAsia="Arial" w:hAnsi="Arial"/>
          <w:b/>
          <w:bCs/>
          <w:sz w:val="24"/>
          <w:szCs w:val="24"/>
        </w:rPr>
        <w:t xml:space="preserve">Autor: Carlos Pérez Pérez</w:t>
      </w:r>
    </w:p>
    <w:p>
      <w:pPr>
        <w:spacing w:before="60"/>
        <w:jc w:val="center"/>
      </w:pPr>
      <w:r>
        <w:rPr>
          <w:rFonts w:ascii="Arial" w:cs="Arial" w:eastAsia="Arial" w:hAnsi="Arial"/>
          <w:sz w:val="24"/>
          <w:szCs w:val="24"/>
        </w:rPr>
        <w:t xml:space="preserve">Sesiones: 14 al 17 de mayo de 2026</w:t>
      </w:r>
    </w:p>
    <w:p>
      <w:pPr>
        <w:spacing w:before="60"/>
        <w:jc w:val="center"/>
      </w:pPr>
      <w:r>
        <w:rPr>
          <w:rFonts w:ascii="Arial" w:cs="Arial" w:eastAsia="Arial" w:hAnsi="Arial"/>
          <w:i/>
          <w:iCs/>
          <w:color w:val="595959"/>
          <w:sz w:val="20"/>
          <w:szCs w:val="20"/>
        </w:rPr>
        <w:t xml:space="preserve">Versión 3 — incluye Fase NLP con filtro de contexto NegEx</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Sesiones del 14 al 17 de mayo de 2026. El proyecto pasó de tener los datos sin abrir a contar con: (a) el primer cálculo de la Matriz de Priorización GEMSES sobre datos reales, (b) la primera medición de precisión validada por juicio experto, y (c) una fase de procesamiento de lenguaje natural por reglas (NegEx) que sube la precisión del 45 % al 77.8 %.</w:t>
      </w:r>
    </w:p>
    <w:p>
      <w:pPr>
        <w:pStyle w:val="ListParagraph"/>
        <w:numPr>
          <w:ilvl w:val="0"/>
          <w:numId w:val="2"/>
        </w:numPr>
        <w:spacing w:after="60"/>
      </w:pPr>
      <w:r>
        <w:rPr>
          <w:rFonts w:ascii="Arial" w:cs="Arial" w:eastAsia="Arial" w:hAnsi="Arial"/>
          <w:sz w:val="22"/>
          <w:szCs w:val="22"/>
        </w:rPr>
        <w:t xml:space="preserve">Etapa 1 — Instalación y verificación del dataset MIMIC-IV v3.1.</w:t>
      </w:r>
    </w:p>
    <w:p>
      <w:pPr>
        <w:pStyle w:val="ListParagraph"/>
        <w:numPr>
          <w:ilvl w:val="0"/>
          <w:numId w:val="2"/>
        </w:numPr>
        <w:spacing w:after="60"/>
      </w:pPr>
      <w:r>
        <w:rPr>
          <w:rFonts w:ascii="Arial" w:cs="Arial" w:eastAsia="Arial" w:hAnsi="Arial"/>
          <w:sz w:val="22"/>
          <w:szCs w:val="22"/>
        </w:rPr>
        <w:t xml:space="preserve">Etapa 2 — Corrección de la base de datos del Anexo 2 desde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y el Anexo 2.</w:t>
      </w:r>
    </w:p>
    <w:p>
      <w:pPr>
        <w:pStyle w:val="ListParagraph"/>
        <w:numPr>
          <w:ilvl w:val="0"/>
          <w:numId w:val="2"/>
        </w:numPr>
        <w:spacing w:after="60"/>
      </w:pPr>
      <w:r>
        <w:rPr>
          <w:rFonts w:ascii="Arial" w:cs="Arial" w:eastAsia="Arial" w:hAnsi="Arial"/>
          <w:sz w:val="22"/>
          <w:szCs w:val="22"/>
        </w:rPr>
        <w:t xml:space="preserve">Etapa 4 — Preparación y validación experta de 20 detecciones.</w:t>
      </w:r>
    </w:p>
    <w:p>
      <w:pPr>
        <w:pStyle w:val="ListParagraph"/>
        <w:numPr>
          <w:ilvl w:val="0"/>
          <w:numId w:val="2"/>
        </w:numPr>
        <w:spacing w:after="60"/>
      </w:pPr>
      <w:r>
        <w:rPr>
          <w:rFonts w:ascii="Arial" w:cs="Arial" w:eastAsia="Arial" w:hAnsi="Arial"/>
          <w:sz w:val="22"/>
          <w:szCs w:val="22"/>
        </w:rPr>
        <w:t xml:space="preserve">Etapa 5 — Aplicación del algoritmo NegEx para filtrar por contexto lingüístico.</w:t>
      </w:r>
    </w:p>
    <w:p>
      <w:r>
        <w:br w:type="page"/>
      </w:r>
    </w:p>
    <w:p>
      <w:pPr>
        <w:pStyle w:val="Heading1"/>
      </w:pPr>
      <w:r>
        <w:rPr>
          <w:rFonts w:ascii="Arial" w:cs="Arial" w:eastAsia="Arial" w:hAnsi="Arial"/>
        </w:rPr>
        <w:t xml:space="preserve">2. Estado inicial del proyecto</w:t>
      </w:r>
    </w:p>
    <w:p>
      <w:pPr>
        <w:spacing w:after="120"/>
      </w:pPr>
      <w:r>
        <w:rPr>
          <w:rFonts w:ascii="Arial" w:cs="Arial" w:eastAsia="Arial" w:hAnsi="Arial"/>
          <w:sz w:val="22"/>
          <w:szCs w:val="22"/>
        </w:rPr>
        <w:t xml:space="preserve">Al iniciar el periodo los datos descargados de PhysioNet estaban comprimidos y la base de datos del modelo GEMSES estaba vacía:</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 datos listos</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 de la tesis)</w:t>
      </w:r>
    </w:p>
    <w:p>
      <w:r>
        <w:br w:type="page"/>
      </w:r>
    </w:p>
    <w:p>
      <w:pPr>
        <w:pStyle w:val="Heading1"/>
      </w:pPr>
      <w:r>
        <w:rPr>
          <w:rFonts w:ascii="Arial" w:cs="Arial" w:eastAsia="Arial" w:hAnsi="Arial"/>
        </w:rPr>
        <w:t xml:space="preserve">3. Etapa 1 — Instalación y verificación de MIMIC-IV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 en C:\MIMIC</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archivos ZIP + notas ya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de hosp/ + 9 de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de la carpeta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la ruta esperada por el notebook</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integridad con huellas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de 33 archivos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del 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 de datos conectadas</w:t>
            </w:r>
          </w:p>
        </w:tc>
      </w:tr>
    </w:tbl>
    <w:p>
      <w:r>
        <w:rPr>
          <w:rFonts w:ascii="Arial" w:cs="Arial" w:eastAsia="Arial" w:hAnsi="Arial"/>
          <w:sz w:val="12"/>
          <w:szCs w:val="12"/>
        </w:rPr>
        <w:t xml:space="preserve"> </w:t>
      </w:r>
    </w:p>
    <w:p>
      <w:pPr>
        <w:pStyle w:val="Heading2"/>
      </w:pPr>
      <w:r>
        <w:rPr>
          <w:rFonts w:ascii="Arial" w:cs="Arial" w:eastAsia="Arial" w:hAnsi="Arial"/>
        </w:rPr>
        <w:t xml:space="preserve">Hallazgo de la exploración</w:t>
      </w:r>
    </w:p>
    <w:p>
      <w:pPr>
        <w:spacing w:after="120"/>
      </w:pPr>
      <w:r>
        <w:rPr>
          <w:rFonts w:ascii="Arial" w:cs="Arial" w:eastAsia="Arial" w:hAnsi="Arial"/>
          <w:sz w:val="22"/>
          <w:szCs w:val="22"/>
        </w:rPr>
        <w:t xml:space="preserve">331,793 epicrisis de 145,914 pacientes. Longitud media ~10,500 caracteres. Solo 0.14 % cabe entera en 512 tokens de BioBERT; 99.86 % requiere segmentación.</w:t>
      </w:r>
    </w:p>
    <w:p>
      <w:r>
        <w:br w:type="page"/>
      </w:r>
    </w:p>
    <w:p>
      <w:pPr>
        <w:pStyle w:val="Heading1"/>
      </w:pPr>
      <w:r>
        <w:rPr>
          <w:rFonts w:ascii="Arial" w:cs="Arial" w:eastAsia="Arial" w:hAnsi="Arial"/>
        </w:rPr>
        <w:t xml:space="preserve">4. Etapa 2 — Corrección de la base de datos del Anexo 2</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PDF de la Directiva 100 % corrupto (8 MB de bytes vacíos)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Codificación del CSV rota (acentos dañados)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Naturaleza Infección partida en 5 variantes de texto</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eventos con Impacto que no cuadra con la fórmula GEMSES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Carlos entregó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 confirmada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 del Impacto</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 (Insatisfacción pesa 0.20)</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Excel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12 naturalezas, UTF-8</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 de la naturaleza Infección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 variantes -&gt; 1</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Columnas de 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impacto, impacto_formula, verificacion</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 creada</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la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2.8</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Respaldo del CSV anterior</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Sufijo .bak</w:t>
            </w:r>
          </w:p>
        </w:tc>
      </w:tr>
    </w:tbl>
    <w:p>
      <w:r>
        <w:br w:type="page"/>
      </w:r>
    </w:p>
    <w:p>
      <w:pPr>
        <w:pStyle w:val="Heading1"/>
      </w:pPr>
      <w:r>
        <w:rPr>
          <w:rFonts w:ascii="Arial" w:cs="Arial" w:eastAsia="Arial" w:hAnsi="Arial"/>
        </w:rPr>
        <w:t xml:space="preserve">5. Etapa 3 — Construcción del puente MIMIC ↔ Anexo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de mapeo mapeo_anexo2_ingles.json</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-&gt; 186 patrones en inglés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Conecta MIMIC + gemses.db + Matriz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Heading2"/>
      </w:pPr>
      <w:r>
        <w:rPr>
          <w:rFonts w:ascii="Arial" w:cs="Arial" w:eastAsia="Arial" w:hAnsi="Arial"/>
        </w:rPr>
        <w:t xml:space="preserve">Resultado de la primera corrida (2,000 epicrisis)</w:t>
      </w:r>
    </w:p>
    <w:p>
      <w:pPr>
        <w:pStyle w:val="ListParagraph"/>
        <w:numPr>
          <w:ilvl w:val="0"/>
          <w:numId w:val="2"/>
        </w:numPr>
        <w:spacing w:after="60"/>
      </w:pPr>
      <w:r>
        <w:rPr>
          <w:rFonts w:ascii="Arial" w:cs="Arial" w:eastAsia="Arial" w:hAnsi="Arial"/>
          <w:sz w:val="22"/>
          <w:szCs w:val="22"/>
        </w:rPr>
        <w:t xml:space="preserve">1,358 notas (67.9 %) con al menos un evento detectado.</w:t>
      </w:r>
    </w:p>
    <w:p>
      <w:pPr>
        <w:pStyle w:val="ListParagraph"/>
        <w:numPr>
          <w:ilvl w:val="0"/>
          <w:numId w:val="2"/>
        </w:numPr>
        <w:spacing w:after="60"/>
      </w:pPr>
      <w:r>
        <w:rPr>
          <w:rFonts w:ascii="Arial" w:cs="Arial" w:eastAsia="Arial" w:hAnsi="Arial"/>
          <w:sz w:val="22"/>
          <w:szCs w:val="22"/>
        </w:rPr>
        <w:t xml:space="preserve">2,500 detecciones, 35 tipos de evento.</w:t>
      </w:r>
    </w:p>
    <w:p>
      <w:pPr>
        <w:pStyle w:val="ListParagraph"/>
        <w:numPr>
          <w:ilvl w:val="0"/>
          <w:numId w:val="2"/>
        </w:numPr>
        <w:spacing w:after="60"/>
      </w:pPr>
      <w:r>
        <w:rPr>
          <w:rFonts w:ascii="Arial" w:cs="Arial" w:eastAsia="Arial" w:hAnsi="Arial"/>
          <w:sz w:val="22"/>
          <w:szCs w:val="22"/>
        </w:rPr>
        <w:t xml:space="preserve">Matriz GEMSES completa: B → G → H → I → J → Verde/Amarillo/Rojo.</w:t>
      </w:r>
    </w:p>
    <w:p>
      <w:r>
        <w:rPr>
          <w:rFonts w:ascii="Arial" w:cs="Arial" w:eastAsia="Arial" w:hAnsi="Arial"/>
          <w:sz w:val="12"/>
          <w:szCs w:val="12"/>
        </w:rPr>
        <w:t xml:space="preserve"> </w:t>
      </w:r>
    </w:p>
    <w:p>
      <w:pPr>
        <w:spacing w:after="120"/>
      </w:pPr>
      <w:r>
        <w:rPr>
          <w:rFonts w:ascii="Arial" w:cs="Arial" w:eastAsia="Arial" w:hAnsi="Arial"/>
          <w:sz w:val="22"/>
          <w:szCs w:val="22"/>
        </w:rPr>
        <w:t xml:space="preserve">Limitación documentada: 67.9 % está inflado porque la detección por palabras clave no maneja negación.</w:t>
      </w:r>
    </w:p>
    <w:p>
      <w:r>
        <w:br w:type="page"/>
      </w:r>
    </w:p>
    <w:p>
      <w:pPr>
        <w:pStyle w:val="Heading1"/>
      </w:pPr>
      <w:r>
        <w:rPr>
          <w:rFonts w:ascii="Arial" w:cs="Arial" w:eastAsia="Arial" w:hAnsi="Arial"/>
        </w:rPr>
        <w:t xml:space="preserve">6. Etapa 4 — Validación experta de 20 detecciones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estratificada de 20 detecciones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alta/media/baja confianza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de texto (±350 chars)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el experto</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Carlos llenó el CSV el 17/05/2026 en su rol de experto en gestión de calidad de EsSalud y autor del Modelo GEMSES.</w:t>
      </w:r>
    </w:p>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Proceso de instalación (5 pasos)</w:t>
      </w:r>
    </w:p>
    <w:p>
      <w:pPr>
        <w:shd w:fill="F2F2F2" w:val="clear"/>
        <w:spacing w:after="0" w:before="0"/>
      </w:pPr>
      <w:r>
        <w:rPr>
          <w:rFonts w:ascii="Consolas" w:cs="Consolas" w:eastAsia="Consolas" w:hAnsi="Consolas"/>
          <w:sz w:val="16"/>
          <w:szCs w:val="16"/>
        </w:rPr>
        <w:t xml:space="preserve">[1] ABRIR LA CAJA      Descomprimir mimic-iv-3.1.zip (10.3 GB) -&gt; 31 archivos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[2] ORDENAR            Renombrar carpeta a 'mimiciv'</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[3] VERIFICAR          Comparar SHA-256 -&gt; 33/33 integros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[4] CONECTAR           Ejecutar notebook -&gt; 11 vistas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[5] RADIOGRAFIA        Conteo y medicion del corpus</w:t>
      </w:r>
    </w:p>
    <w:p>
      <w:r>
        <w:rPr>
          <w:rFonts w:ascii="Arial" w:cs="Arial" w:eastAsia="Arial" w:hAnsi="Arial"/>
          <w:sz w:val="12"/>
          <w:szCs w:val="12"/>
        </w:rPr>
        <w:t xml:space="preserve"> </w:t>
      </w:r>
    </w:p>
    <w:p>
      <w:pPr>
        <w:pStyle w:val="Heading2"/>
      </w:pPr>
      <w:r>
        <w:rPr>
          <w:rFonts w:ascii="Arial" w:cs="Arial" w:eastAsia="Arial" w:hAnsi="Arial"/>
        </w:rPr>
        <w:t xml:space="preserve">7.2 Las dos llaves</w:t>
      </w:r>
    </w:p>
    <w:p>
      <w:pPr>
        <w:shd w:fill="F2F2F2" w:val="clear"/>
        <w:spacing w:after="0" w:before="0"/>
      </w:pPr>
      <w:r>
        <w:rPr>
          <w:rFonts w:ascii="Consolas" w:cs="Consolas" w:eastAsia="Consolas" w:hAnsi="Consolas"/>
          <w:sz w:val="16"/>
          <w:szCs w:val="16"/>
        </w:rPr>
        <w:t xml:space="preserve">subject_id  -&gt;  el PACIENTE          (como el DNI)</w:t>
      </w:r>
    </w:p>
    <w:p>
      <w:pPr>
        <w:shd w:fill="F2F2F2" w:val="clear"/>
        <w:spacing w:after="0" w:before="0"/>
      </w:pPr>
      <w:r>
        <w:rPr>
          <w:rFonts w:ascii="Consolas" w:cs="Consolas" w:eastAsia="Consolas" w:hAnsi="Consolas"/>
          <w:sz w:val="16"/>
          <w:szCs w:val="16"/>
        </w:rPr>
        <w:t xml:space="preserve">hadm_id     -&gt;  la HOSPITALIZACION   (como el numero de cuenta)</w:t>
      </w:r>
    </w:p>
    <w:p>
      <w:r>
        <w:rPr>
          <w:rFonts w:ascii="Arial" w:cs="Arial" w:eastAsia="Arial" w:hAnsi="Arial"/>
          <w:sz w:val="12"/>
          <w:szCs w:val="12"/>
        </w:rPr>
        <w:t xml:space="preserve"> </w:t>
      </w:r>
    </w:p>
    <w:p>
      <w:pPr>
        <w:pStyle w:val="Heading2"/>
      </w:pPr>
      <w:r>
        <w:rPr>
          <w:rFonts w:ascii="Arial" w:cs="Arial" w:eastAsia="Arial" w:hAnsi="Arial"/>
        </w:rPr>
        <w:t xml:space="preserve">7.3 El puente español ↔ inglés</w:t>
      </w:r>
    </w:p>
    <w:p>
      <w:pPr>
        <w:shd w:fill="F2F2F2" w:val="clear"/>
        <w:spacing w:after="0" w:before="0"/>
      </w:pPr>
      <w:r>
        <w:rPr>
          <w:rFonts w:ascii="Consolas" w:cs="Consolas" w:eastAsia="Consolas" w:hAnsi="Consolas"/>
          <w:sz w:val="16"/>
          <w:szCs w:val="16"/>
        </w:rPr>
        <w:t xml:space="preserve">Anexo 2 (ES)               Patrones (EN)              Nota MIMIC (EN)</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202 "Caida"             -&gt; "fell","found on floor" -&gt; "...patient fell..."</w:t>
      </w:r>
    </w:p>
    <w:p>
      <w:pPr>
        <w:shd w:fill="F2F2F2" w:val="clear"/>
        <w:spacing w:after="0" w:before="0"/>
      </w:pPr>
      <w:r>
        <w:rPr>
          <w:rFonts w:ascii="Consolas" w:cs="Consolas" w:eastAsia="Consolas" w:hAnsi="Consolas"/>
          <w:sz w:val="16"/>
          <w:szCs w:val="16"/>
        </w:rPr>
        <w:t xml:space="preserve">601 "Infeccion ITS"     -&gt; "bacteremia","CLABSI"   -&gt; "...MRSA bacteremia..."</w:t>
      </w:r>
    </w:p>
    <w:p>
      <w:r>
        <w:rPr>
          <w:rFonts w:ascii="Arial" w:cs="Arial" w:eastAsia="Arial" w:hAnsi="Arial"/>
          <w:sz w:val="12"/>
          <w:szCs w:val="12"/>
        </w:rPr>
        <w:t xml:space="preserve"> </w:t>
      </w:r>
    </w:p>
    <w:p>
      <w:pPr>
        <w:pStyle w:val="Heading2"/>
      </w:pPr>
      <w:r>
        <w:rPr>
          <w:rFonts w:ascii="Arial" w:cs="Arial" w:eastAsia="Arial" w:hAnsi="Arial"/>
        </w:rPr>
        <w:t xml:space="preserve">7.4 Flujo de cálculo de la Matriz GEMSES</w:t>
      </w:r>
    </w:p>
    <w:p>
      <w:pPr>
        <w:shd w:fill="F2F2F2" w:val="clear"/>
        <w:spacing w:after="0" w:before="0"/>
      </w:pPr>
      <w:r>
        <w:rPr>
          <w:rFonts w:ascii="Consolas" w:cs="Consolas" w:eastAsia="Consolas" w:hAnsi="Consolas"/>
          <w:sz w:val="16"/>
          <w:szCs w:val="16"/>
        </w:rPr>
        <w:t xml:space="preserve">PASO A  Indice de Frecuencia   B = A / sum(a)</w:t>
      </w:r>
    </w:p>
    <w:p>
      <w:pPr>
        <w:shd w:fill="F2F2F2" w:val="clear"/>
        <w:spacing w:after="0" w:before="0"/>
      </w:pPr>
      <w:r>
        <w:rPr>
          <w:rFonts w:ascii="Consolas" w:cs="Consolas" w:eastAsia="Consolas" w:hAnsi="Consolas"/>
          <w:sz w:val="16"/>
          <w:szCs w:val="16"/>
        </w:rPr>
        <w:t xml:space="preserve">PASO B  Impacto                G = c*0.40 + d*0.20 + e*0.15 + f*0.20</w:t>
      </w:r>
    </w:p>
    <w:p>
      <w:pPr>
        <w:shd w:fill="F2F2F2" w:val="clear"/>
        <w:spacing w:after="0" w:before="0"/>
      </w:pPr>
      <w:r>
        <w:rPr>
          <w:rFonts w:ascii="Consolas" w:cs="Consolas" w:eastAsia="Consolas" w:hAnsi="Consolas"/>
          <w:sz w:val="16"/>
          <w:szCs w:val="16"/>
        </w:rPr>
        <w:t xml:space="preserve">PASO C  Riesgo                 H = B * G</w:t>
      </w:r>
    </w:p>
    <w:p>
      <w:pPr>
        <w:shd w:fill="F2F2F2" w:val="clear"/>
        <w:spacing w:after="0" w:before="0"/>
      </w:pPr>
      <w:r>
        <w:rPr>
          <w:rFonts w:ascii="Consolas" w:cs="Consolas" w:eastAsia="Consolas" w:hAnsi="Consolas"/>
          <w:sz w:val="16"/>
          <w:szCs w:val="16"/>
        </w:rPr>
        <w:t xml:space="preserve">PASO D  Indice de Impacto      I = H / sum(H)</w:t>
      </w:r>
    </w:p>
    <w:p>
      <w:pPr>
        <w:shd w:fill="F2F2F2" w:val="clear"/>
        <w:spacing w:after="0" w:before="0"/>
      </w:pPr>
      <w:r>
        <w:rPr>
          <w:rFonts w:ascii="Consolas" w:cs="Consolas" w:eastAsia="Consolas" w:hAnsi="Consolas"/>
          <w:sz w:val="16"/>
          <w:szCs w:val="16"/>
        </w:rPr>
        <w:t xml:space="preserve">PASO E  Nivel de Gestion       J = I * 100</w:t>
      </w:r>
    </w:p>
    <w:p>
      <w:pPr>
        <w:shd w:fill="F2F2F2" w:val="clear"/>
        <w:spacing w:after="0" w:before="0"/>
      </w:pPr>
      <w:r>
        <w:rPr>
          <w:rFonts w:ascii="Consolas" w:cs="Consolas" w:eastAsia="Consolas" w:hAnsi="Consolas"/>
          <w:sz w:val="16"/>
          <w:szCs w:val="16"/>
        </w:rPr>
        <w:t xml:space="preserve">                                P25 -&gt; VERDE (Servicio)</w:t>
      </w:r>
    </w:p>
    <w:p>
      <w:pPr>
        <w:shd w:fill="F2F2F2" w:val="clear"/>
        <w:spacing w:after="0" w:before="0"/>
      </w:pPr>
      <w:r>
        <w:rPr>
          <w:rFonts w:ascii="Consolas" w:cs="Consolas" w:eastAsia="Consolas" w:hAnsi="Consolas"/>
          <w:sz w:val="16"/>
          <w:szCs w:val="16"/>
        </w:rPr>
        <w:t xml:space="preserve">                                P50 -&gt; AMARILLO (Departamento)</w:t>
      </w:r>
    </w:p>
    <w:p>
      <w:pPr>
        <w:shd w:fill="F2F2F2" w:val="clear"/>
        <w:spacing w:after="0" w:before="0"/>
      </w:pPr>
      <w:r>
        <w:rPr>
          <w:rFonts w:ascii="Consolas" w:cs="Consolas" w:eastAsia="Consolas" w:hAnsi="Consolas"/>
          <w:sz w:val="16"/>
          <w:szCs w:val="16"/>
        </w:rPr>
        <w:t xml:space="preserve">                                P75 -&gt; ROJO (Director)</w:t>
      </w:r>
    </w:p>
    <w:p>
      <w:r>
        <w:rPr>
          <w:rFonts w:ascii="Arial" w:cs="Arial" w:eastAsia="Arial" w:hAnsi="Arial"/>
          <w:sz w:val="12"/>
          <w:szCs w:val="12"/>
        </w:rPr>
        <w:t xml:space="preserve"> </w:t>
      </w:r>
    </w:p>
    <w:p>
      <w:pPr>
        <w:pStyle w:val="Heading2"/>
      </w:pPr>
      <w:r>
        <w:rPr>
          <w:rFonts w:ascii="Arial" w:cs="Arial" w:eastAsia="Arial" w:hAnsi="Arial"/>
        </w:rPr>
        <w:t xml:space="preserve">7.5 Pipeline completo con filtro NegEx</w:t>
      </w:r>
    </w:p>
    <w:p>
      <w:pPr>
        <w:shd w:fill="F2F2F2" w:val="clear"/>
        <w:spacing w:after="0" w:before="0"/>
      </w:pPr>
      <w:r>
        <w:rPr>
          <w:rFonts w:ascii="Consolas" w:cs="Consolas" w:eastAsia="Consolas" w:hAnsi="Consolas"/>
          <w:sz w:val="16"/>
          <w:szCs w:val="16"/>
        </w:rPr>
        <w:t xml:space="preserve">     FUENTE 1: MIMIC                FUENTE 2: Anexo 2</w:t>
      </w:r>
    </w:p>
    <w:p>
      <w:pPr>
        <w:shd w:fill="F2F2F2" w:val="clear"/>
        <w:spacing w:after="0" w:before="0"/>
      </w:pPr>
      <w:r>
        <w:rPr>
          <w:rFonts w:ascii="Consolas" w:cs="Consolas" w:eastAsia="Consolas" w:hAnsi="Consolas"/>
          <w:sz w:val="16"/>
          <w:szCs w:val="16"/>
        </w:rPr>
        <w:t xml:space="preserve">     discharge.text                 231 eventos valorados</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3: reglas de palabras clave     |</w:t>
      </w:r>
    </w:p>
    <w:p>
      <w:pPr>
        <w:shd w:fill="F2F2F2" w:val="clear"/>
        <w:spacing w:after="0" w:before="0"/>
      </w:pPr>
      <w:r>
        <w:rPr>
          <w:rFonts w:ascii="Consolas" w:cs="Consolas" w:eastAsia="Consolas" w:hAnsi="Consolas"/>
          <w:sz w:val="16"/>
          <w:szCs w:val="16"/>
        </w:rPr>
        <w:t xml:space="preserve">     (2,500 detecciones, precision 45%)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5: NegEx clasifica contexto     |</w:t>
      </w:r>
    </w:p>
    <w:p>
      <w:pPr>
        <w:shd w:fill="F2F2F2" w:val="clear"/>
        <w:spacing w:after="0" w:before="0"/>
      </w:pPr>
      <w:r>
        <w:rPr>
          <w:rFonts w:ascii="Consolas" w:cs="Consolas" w:eastAsia="Consolas" w:hAnsi="Consolas"/>
          <w:sz w:val="16"/>
          <w:szCs w:val="16"/>
        </w:rPr>
        <w:t xml:space="preserve">     -&gt; AFIRMADO / NEGADO / HISTORICO /    |</w:t>
      </w:r>
    </w:p>
    <w:p>
      <w:pPr>
        <w:shd w:fill="F2F2F2" w:val="clear"/>
        <w:spacing w:after="0" w:before="0"/>
      </w:pPr>
      <w:r>
        <w:rPr>
          <w:rFonts w:ascii="Consolas" w:cs="Consolas" w:eastAsia="Consolas" w:hAnsi="Consolas"/>
          <w:sz w:val="16"/>
          <w:szCs w:val="16"/>
        </w:rPr>
        <w:t xml:space="preserve">        FAMILIAR / etc.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filtrar: solo AFIRMADO (1,172)        |</w:t>
      </w:r>
    </w:p>
    <w:p>
      <w:pPr>
        <w:shd w:fill="F2F2F2" w:val="clear"/>
        <w:spacing w:after="0" w:before="0"/>
      </w:pPr>
      <w:r>
        <w:rPr>
          <w:rFonts w:ascii="Consolas" w:cs="Consolas" w:eastAsia="Consolas" w:hAnsi="Consolas"/>
          <w:sz w:val="16"/>
          <w:szCs w:val="16"/>
        </w:rPr>
        <w:t xml:space="preserve">     (precision 78%)                       |</w:t>
      </w:r>
    </w:p>
    <w:p>
      <w:pPr>
        <w:shd w:fill="F2F2F2" w:val="clear"/>
        <w:spacing w:after="0" w:before="0"/>
      </w:pPr>
      <w:r>
        <w:rPr>
          <w:rFonts w:ascii="Consolas" w:cs="Consolas" w:eastAsia="Consolas" w:hAnsi="Consolas"/>
          <w:sz w:val="16"/>
          <w:szCs w:val="16"/>
        </w:rPr>
        <w:t xml:space="preserve">            v                              v</w:t>
      </w:r>
    </w:p>
    <w:p>
      <w:pPr>
        <w:shd w:fill="F2F2F2" w:val="clear"/>
        <w:spacing w:after="0" w:before="0"/>
      </w:pPr>
      <w:r>
        <w:rPr>
          <w:rFonts w:ascii="Consolas" w:cs="Consolas" w:eastAsia="Consolas" w:hAnsi="Consolas"/>
          <w:sz w:val="16"/>
          <w:szCs w:val="16"/>
        </w:rPr>
        <w:t xml:space="preserve">                  se codifica id_evento -&gt; Matriz GEMSES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(oficial)</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Versión no oficial archivada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bl>
    <w:p>
      <w:r>
        <w:rPr>
          <w:rFonts w:ascii="Arial" w:cs="Arial" w:eastAsia="Arial" w:hAnsi="Arial"/>
          <w:sz w:val="12"/>
          <w:szCs w:val="12"/>
        </w:rPr>
        <w:t xml:space="preserve"> </w:t>
      </w:r>
    </w:p>
    <w:p>
      <w:pPr>
        <w:pStyle w:val="Heading2"/>
      </w:pPr>
      <w:r>
        <w:rPr>
          <w:rFonts w:ascii="Arial" w:cs="Arial" w:eastAsia="Arial" w:hAnsi="Arial"/>
        </w:rPr>
        <w:t xml:space="preserve">8.2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del puente (Etapa 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notebooks/fase2_nlp_negacion.ipynb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del filtro NegEx (Etapa 5)</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notebooks/negex_clinical.py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Implementación NegEx v0.3 en Python puro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ES↔EN (v0.2)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fase2_detecciones_weak_supervision.csv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Corpus inicial (2,500 detecciones)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fase2_detecciones_filtradas_negex.csv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 columna contexto añadida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fase2_matriz_gemses_muestra.csv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GEMSES sin filtro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fase2_matriz_gemses_limpia.csv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GEMSES con filtro NegEx</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de validación dictaminado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fase2_analisis_validacion.csv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Categoría de error de cada FP</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docs/06_bitacora/Informe_Avance_GEMSES_MIMIC_2026-05-17_v3.docx</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Este informe (versión 3)</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(reglas)  -- precision 45%</w:t>
      </w:r>
    </w:p>
    <w:p>
      <w:pPr>
        <w:shd w:fill="F2F2F2" w:val="clear"/>
        <w:spacing w:after="0" w:before="0"/>
      </w:pPr>
      <w:r>
        <w:rPr>
          <w:rFonts w:ascii="Consolas" w:cs="Consolas" w:eastAsia="Consolas" w:hAnsi="Consolas"/>
          <w:sz w:val="16"/>
          <w:szCs w:val="16"/>
        </w:rPr>
        <w:t xml:space="preserve">[OK ] Validacion experta de 20 notas (17/05/2026)</w:t>
      </w:r>
    </w:p>
    <w:p>
      <w:pPr>
        <w:shd w:fill="F2F2F2" w:val="clear"/>
        <w:spacing w:after="0" w:before="0"/>
      </w:pPr>
      <w:r>
        <w:rPr>
          <w:rFonts w:ascii="Consolas" w:cs="Consolas" w:eastAsia="Consolas" w:hAnsi="Consolas"/>
          <w:sz w:val="16"/>
          <w:szCs w:val="16"/>
        </w:rPr>
        <w:t xml:space="preserve">[OK ] Filtro NegEx aplicado              -- precision 78%</w:t>
      </w:r>
    </w:p>
    <w:p>
      <w:pPr>
        <w:shd w:fill="F2F2F2" w:val="clear"/>
        <w:spacing w:after="0" w:before="0"/>
      </w:pPr>
      <w:r>
        <w:rPr>
          <w:rFonts w:ascii="Consolas" w:cs="Consolas" w:eastAsia="Consolas" w:hAnsi="Consolas"/>
          <w:sz w:val="16"/>
          <w:szCs w:val="16"/>
        </w:rPr>
        <w:t xml:space="preserve">[&gt;&gt; ] Validacion experta ampliada (50-100 notas) (siguiente)</w:t>
      </w:r>
    </w:p>
    <w:p>
      <w:pPr>
        <w:shd w:fill="F2F2F2" w:val="clear"/>
        <w:spacing w:after="0" w:before="0"/>
      </w:pPr>
      <w:r>
        <w:rPr>
          <w:rFonts w:ascii="Consolas" w:cs="Consolas" w:eastAsia="Consolas" w:hAnsi="Consolas"/>
          <w:sz w:val="16"/>
          <w:szCs w:val="16"/>
        </w:rPr>
        <w:t xml:space="preserve">[   ] BioBERT/ClinicalBERT con GPU       -- para los FP semanticos restantes</w:t>
      </w:r>
    </w:p>
    <w:p>
      <w:pPr>
        <w:shd w:fill="F2F2F2" w:val="clear"/>
        <w:spacing w:after="0" w:before="0"/>
      </w:pPr>
      <w:r>
        <w:rPr>
          <w:rFonts w:ascii="Consolas" w:cs="Consolas" w:eastAsia="Consolas" w:hAnsi="Consolas"/>
          <w:sz w:val="16"/>
          <w:szCs w:val="16"/>
        </w:rPr>
        <w:t xml:space="preserve">[   ] Fase 1: corpus etiquetado de 5,000 notas</w:t>
      </w:r>
    </w:p>
    <w:p>
      <w:pPr>
        <w:shd w:fill="F2F2F2" w:val="clear"/>
        <w:spacing w:after="0" w:before="0"/>
      </w:pPr>
      <w:r>
        <w:rPr>
          <w:rFonts w:ascii="Consolas" w:cs="Consolas" w:eastAsia="Consolas" w:hAnsi="Consolas"/>
          <w:sz w:val="16"/>
          <w:szCs w:val="16"/>
        </w:rPr>
        <w:t xml:space="preserve">[   ] Fases 3-6: multimodal, GEMSES completo, panel experto,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Los 33 eventos REVISAR del Anexo 2: confirmar con el texto de la directiva si los procesos de soporte usan Sobrecosto=0.35.</w:t>
      </w:r>
    </w:p>
    <w:p>
      <w:pPr>
        <w:pStyle w:val="ListParagraph"/>
        <w:numPr>
          <w:ilvl w:val="0"/>
          <w:numId w:val="2"/>
        </w:numPr>
        <w:spacing w:after="60"/>
      </w:pPr>
      <w:r>
        <w:rPr>
          <w:rFonts w:ascii="Arial" w:cs="Arial" w:eastAsia="Arial" w:hAnsi="Arial"/>
          <w:sz w:val="22"/>
          <w:szCs w:val="22"/>
        </w:rPr>
        <w:t xml:space="preserve">Power BI: reapuntar al CSV corregido si había tablero conectado.</w:t>
      </w:r>
    </w:p>
    <w:p>
      <w:pPr>
        <w:pStyle w:val="ListParagraph"/>
        <w:numPr>
          <w:ilvl w:val="0"/>
          <w:numId w:val="2"/>
        </w:numPr>
        <w:spacing w:after="60"/>
      </w:pPr>
      <w:r>
        <w:rPr>
          <w:rFonts w:ascii="Arial" w:cs="Arial" w:eastAsia="Arial" w:hAnsi="Arial"/>
          <w:sz w:val="22"/>
          <w:szCs w:val="22"/>
        </w:rPr>
        <w:t xml:space="preserve">PDF corrupto de la Directiva: reemplazar por copia válida.</w:t>
      </w:r>
    </w:p>
    <w:p>
      <w:pPr>
        <w:pStyle w:val="ListParagraph"/>
        <w:numPr>
          <w:ilvl w:val="0"/>
          <w:numId w:val="2"/>
        </w:numPr>
        <w:spacing w:after="60"/>
      </w:pPr>
      <w:r>
        <w:rPr>
          <w:rFonts w:ascii="Arial" w:cs="Arial" w:eastAsia="Arial" w:hAnsi="Arial"/>
          <w:sz w:val="22"/>
          <w:szCs w:val="22"/>
        </w:rPr>
        <w:t xml:space="preserve">Reclasificar AMA: no hay id_evento exacto en el Anexo 2; aclarar con la directiva.</w:t>
      </w:r>
    </w:p>
    <w:p>
      <w:pPr>
        <w:pStyle w:val="ListParagraph"/>
        <w:numPr>
          <w:ilvl w:val="0"/>
          <w:numId w:val="2"/>
        </w:numPr>
        <w:spacing w:after="60"/>
      </w:pPr>
      <w:r>
        <w:rPr>
          <w:rFonts w:ascii="Arial" w:cs="Arial" w:eastAsia="Arial" w:hAnsi="Arial"/>
          <w:sz w:val="22"/>
          <w:szCs w:val="22"/>
        </w:rPr>
        <w:t xml:space="preserve">Validación ampliada: revisar 50-100 detecciones para tener intervalos de confianza estables en la métrica de precisión.</w:t>
      </w:r>
    </w:p>
    <w:p>
      <w:pPr>
        <w:pStyle w:val="ListParagraph"/>
        <w:numPr>
          <w:ilvl w:val="0"/>
          <w:numId w:val="2"/>
        </w:numPr>
        <w:spacing w:after="60"/>
      </w:pPr>
      <w:r>
        <w:rPr>
          <w:rFonts w:ascii="Arial" w:cs="Arial" w:eastAsia="Arial" w:hAnsi="Arial"/>
          <w:sz w:val="22"/>
          <w:szCs w:val="22"/>
        </w:rPr>
        <w:t xml:space="preserve">BioBERT: solicitar acceso a entorno GPU (Colab, Kaggle o cluster UNI) para abordar los FP semánticos que NegEx no resuelve.</w:t>
      </w:r>
    </w:p>
    <w:p>
      <w:r>
        <w:br w:type="page"/>
      </w:r>
    </w:p>
    <w:p>
      <w:pPr>
        <w:pStyle w:val="Heading1"/>
      </w:pPr>
      <w:r>
        <w:rPr>
          <w:rFonts w:ascii="Arial" w:cs="Arial" w:eastAsia="Arial" w:hAnsi="Arial"/>
        </w:rPr>
        <w:t xml:space="preserve">11. Resultados de la validación experta (17/05/2026)</w:t>
      </w:r>
    </w:p>
    <w:p>
      <w:pPr>
        <w:pStyle w:val="Heading2"/>
      </w:pPr>
      <w:r>
        <w:rPr>
          <w:rFonts w:ascii="Arial" w:cs="Arial" w:eastAsia="Arial" w:hAnsi="Arial"/>
        </w:rPr>
        <w:t xml:space="preserve">11.1 Precisión inicial</w:t>
      </w:r>
    </w:p>
    <w:p>
      <w:pPr>
        <w:shd w:fill="F2F2F2" w:val="clear"/>
        <w:spacing w:after="0" w:before="0"/>
      </w:pPr>
      <w:r>
        <w:rPr>
          <w:rFonts w:ascii="Consolas" w:cs="Consolas" w:eastAsia="Consolas" w:hAnsi="Consolas"/>
          <w:sz w:val="16"/>
          <w:szCs w:val="16"/>
        </w:rPr>
        <w:t xml:space="preserve">   VERDADEROS POSITIVOS   :  9</w:t>
      </w:r>
    </w:p>
    <w:p>
      <w:pPr>
        <w:shd w:fill="F2F2F2" w:val="clear"/>
        <w:spacing w:after="0" w:before="0"/>
      </w:pPr>
      <w:r>
        <w:rPr>
          <w:rFonts w:ascii="Consolas" w:cs="Consolas" w:eastAsia="Consolas" w:hAnsi="Consolas"/>
          <w:sz w:val="16"/>
          <w:szCs w:val="16"/>
        </w:rPr>
        <w:t xml:space="preserve">   FALSOS POSITIVOS       : 11</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PRECISION              : 45.0 %</w:t>
      </w:r>
    </w:p>
    <w:p>
      <w:r>
        <w:rPr>
          <w:rFonts w:ascii="Arial" w:cs="Arial" w:eastAsia="Arial" w:hAnsi="Arial"/>
          <w:sz w:val="12"/>
          <w:szCs w:val="12"/>
        </w:rPr>
        <w:t xml:space="preserve"> </w:t>
      </w:r>
    </w:p>
    <w:p>
      <w:pPr>
        <w:pStyle w:val="Heading2"/>
      </w:pPr>
      <w:r>
        <w:rPr>
          <w:rFonts w:ascii="Arial" w:cs="Arial" w:eastAsia="Arial" w:hAnsi="Arial"/>
        </w:rPr>
        <w:t xml:space="preserve">11.2 Por nivel de confianza del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700"/>
        <w:gridCol w:w="26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Confianza</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VP</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FP</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Total</w:t>
            </w:r>
          </w:p>
        </w:tc>
        <w:tc>
          <w:tcPr>
            <w:tcW w:type="dxa" w:w="2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Precisión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50.0 %</w:t>
            </w:r>
          </w:p>
        </w:tc>
      </w:tr>
      <w:tr>
        <w:tc>
          <w:tcPr>
            <w:tcW w:type="dxa" w:w="2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c>
          <w:tcPr>
            <w:tcW w:type="dxa" w:w="13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13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w:t>
            </w:r>
          </w:p>
        </w:tc>
        <w:tc>
          <w:tcPr>
            <w:tcW w:type="dxa" w:w="2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40.0 %</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baja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50.0 %</w:t>
            </w:r>
          </w:p>
        </w:tc>
      </w:tr>
    </w:tbl>
    <w:p>
      <w:r>
        <w:rPr>
          <w:rFonts w:ascii="Arial" w:cs="Arial" w:eastAsia="Arial" w:hAnsi="Arial"/>
          <w:sz w:val="12"/>
          <w:szCs w:val="12"/>
        </w:rPr>
        <w:t xml:space="preserve"> </w:t>
      </w:r>
    </w:p>
    <w:p>
      <w:pPr>
        <w:pStyle w:val="Heading2"/>
      </w:pPr>
      <w:r>
        <w:rPr>
          <w:rFonts w:ascii="Arial" w:cs="Arial" w:eastAsia="Arial" w:hAnsi="Arial"/>
        </w:rPr>
        <w:t xml:space="preserve">11.3 Análisis de los 11 falsos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4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Tipo de error</w:t>
            </w:r>
          </w:p>
        </w:tc>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Ejemplo de la validación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Negación</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n8, n10, n13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 es de esta hospitalización</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n4 donante ABO, n12 admisión previa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Antecedente familiar</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n11 peritonitis del padre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 de ingreso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n18 hepatitis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 o mención de guía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n5 profilaxis de endocarditis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Hipotético / descartado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 etiología improbable</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Coincidencia casual de palabra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n9 steri-strips will fall off</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Mapeo conceptualmente incorrecto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n16 AMA ≠ Vagabundeo/fugas</w:t>
            </w:r>
          </w:p>
        </w:tc>
      </w:tr>
    </w:tbl>
    <w:p>
      <w:r>
        <w:rPr>
          <w:rFonts w:ascii="Arial" w:cs="Arial" w:eastAsia="Arial" w:hAnsi="Arial"/>
          <w:sz w:val="12"/>
          <w:szCs w:val="12"/>
        </w:rPr>
        <w:t xml:space="preserve"> </w:t>
      </w:r>
    </w:p>
    <w:p>
      <w:pPr>
        <w:pStyle w:val="Heading2"/>
      </w:pPr>
      <w:r>
        <w:rPr>
          <w:rFonts w:ascii="Arial" w:cs="Arial" w:eastAsia="Arial" w:hAnsi="Arial"/>
        </w:rPr>
        <w:t xml:space="preserve">11.4 Hallazgo experto: mapeo corregido</w:t>
      </w:r>
    </w:p>
    <w:p>
      <w:pPr>
        <w:spacing w:after="120"/>
      </w:pPr>
      <w:r>
        <w:rPr>
          <w:rFonts w:ascii="Arial" w:cs="Arial" w:eastAsia="Arial" w:hAnsi="Arial"/>
          <w:sz w:val="22"/>
          <w:szCs w:val="22"/>
        </w:rPr>
        <w:t xml:space="preserve">El caso 16 mostró que en la taxonomía de EsSalud, AMA y Vagabundeo/fugas son eventos administrativamente distintos. El mapeo se actualizó a la versión 0.2.</w:t>
      </w:r>
    </w:p>
    <w:p>
      <w:r>
        <w:br w:type="page"/>
      </w:r>
    </w:p>
    <w:p>
      <w:pPr>
        <w:pStyle w:val="Heading1"/>
      </w:pPr>
      <w:r>
        <w:rPr>
          <w:rFonts w:ascii="Arial" w:cs="Arial" w:eastAsia="Arial" w:hAnsi="Arial"/>
        </w:rPr>
        <w:t xml:space="preserve">12. Etapa 5 — Filtro de contexto con NegEx (17/05/2026)</w:t>
      </w:r>
    </w:p>
    <w:p>
      <w:pPr>
        <w:spacing w:after="120"/>
      </w:pPr>
      <w:r>
        <w:rPr>
          <w:rFonts w:ascii="Arial" w:cs="Arial" w:eastAsia="Arial" w:hAnsi="Arial"/>
          <w:sz w:val="22"/>
          <w:szCs w:val="22"/>
        </w:rPr>
        <w:t xml:space="preserve">Para atacar las tres categorías de error más frecuentes (negación, temporalidad, propósito de la mención) se implementó el algoritmo NegEx (Chapman et al., 2001) en Python puro, sin dependencias externas. Se aplicó a las 2,500 detecciones del weak supervision.</w:t>
      </w:r>
    </w:p>
    <w:p>
      <w:r>
        <w:rPr>
          <w:rFonts w:ascii="Arial" w:cs="Arial" w:eastAsia="Arial" w:hAnsi="Arial"/>
          <w:sz w:val="12"/>
          <w:szCs w:val="12"/>
        </w:rPr>
        <w:t xml:space="preserve"> </w:t>
      </w:r>
    </w:p>
    <w:p>
      <w:pPr>
        <w:pStyle w:val="Heading2"/>
      </w:pPr>
      <w:r>
        <w:rPr>
          <w:rFonts w:ascii="Arial" w:cs="Arial" w:eastAsia="Arial" w:hAnsi="Arial"/>
        </w:rPr>
        <w:t xml:space="preserve">12.1 Categorías que clasifica NegEx</w:t>
      </w:r>
    </w:p>
    <w:p>
      <w:pPr>
        <w:pStyle w:val="ListParagraph"/>
        <w:numPr>
          <w:ilvl w:val="0"/>
          <w:numId w:val="2"/>
        </w:numPr>
        <w:spacing w:after="60"/>
      </w:pPr>
      <w:r>
        <w:rPr>
          <w:rFonts w:ascii="Arial" w:cs="Arial" w:eastAsia="Arial" w:hAnsi="Arial"/>
          <w:sz w:val="22"/>
          <w:szCs w:val="22"/>
        </w:rPr>
        <w:t xml:space="preserve">AFIRMADO — evento real, presente y confirmado.</w:t>
      </w:r>
    </w:p>
    <w:p>
      <w:pPr>
        <w:pStyle w:val="ListParagraph"/>
        <w:numPr>
          <w:ilvl w:val="0"/>
          <w:numId w:val="2"/>
        </w:numPr>
        <w:spacing w:after="60"/>
      </w:pPr>
      <w:r>
        <w:rPr>
          <w:rFonts w:ascii="Arial" w:cs="Arial" w:eastAsia="Arial" w:hAnsi="Arial"/>
          <w:sz w:val="22"/>
          <w:szCs w:val="22"/>
        </w:rPr>
        <w:t xml:space="preserve">NEGADO — "no pneumothorax", "ruled out", "feces negative for...".</w:t>
      </w:r>
    </w:p>
    <w:p>
      <w:pPr>
        <w:pStyle w:val="ListParagraph"/>
        <w:numPr>
          <w:ilvl w:val="0"/>
          <w:numId w:val="2"/>
        </w:numPr>
        <w:spacing w:after="60"/>
      </w:pPr>
      <w:r>
        <w:rPr>
          <w:rFonts w:ascii="Arial" w:cs="Arial" w:eastAsia="Arial" w:hAnsi="Arial"/>
          <w:sz w:val="22"/>
          <w:szCs w:val="22"/>
        </w:rPr>
        <w:t xml:space="preserve">HIPOTÉTICO — "possible", "concern for", "unlikely" en cualquier parte de la oración.</w:t>
      </w:r>
    </w:p>
    <w:p>
      <w:pPr>
        <w:pStyle w:val="ListParagraph"/>
        <w:numPr>
          <w:ilvl w:val="0"/>
          <w:numId w:val="2"/>
        </w:numPr>
        <w:spacing w:after="60"/>
      </w:pPr>
      <w:r>
        <w:rPr>
          <w:rFonts w:ascii="Arial" w:cs="Arial" w:eastAsia="Arial" w:hAnsi="Arial"/>
          <w:sz w:val="22"/>
          <w:szCs w:val="22"/>
        </w:rPr>
        <w:t xml:space="preserve">HISTÓRICO — "history of", "s/p", "prior".</w:t>
      </w:r>
    </w:p>
    <w:p>
      <w:pPr>
        <w:pStyle w:val="ListParagraph"/>
        <w:numPr>
          <w:ilvl w:val="0"/>
          <w:numId w:val="2"/>
        </w:numPr>
        <w:spacing w:after="60"/>
      </w:pPr>
      <w:r>
        <w:rPr>
          <w:rFonts w:ascii="Arial" w:cs="Arial" w:eastAsia="Arial" w:hAnsi="Arial"/>
          <w:sz w:val="22"/>
          <w:szCs w:val="22"/>
        </w:rPr>
        <w:t xml:space="preserve">FAMILIAR — "father", "family history of".</w:t>
      </w:r>
    </w:p>
    <w:p>
      <w:pPr>
        <w:pStyle w:val="ListParagraph"/>
        <w:numPr>
          <w:ilvl w:val="0"/>
          <w:numId w:val="2"/>
        </w:numPr>
        <w:spacing w:after="60"/>
      </w:pPr>
      <w:r>
        <w:rPr>
          <w:rFonts w:ascii="Arial" w:cs="Arial" w:eastAsia="Arial" w:hAnsi="Arial"/>
          <w:sz w:val="22"/>
          <w:szCs w:val="22"/>
        </w:rPr>
        <w:t xml:space="preserve">PROFILAXIS — "prophylaxis", "prevention of".</w:t>
      </w:r>
    </w:p>
    <w:p>
      <w:pPr>
        <w:pStyle w:val="ListParagraph"/>
        <w:numPr>
          <w:ilvl w:val="0"/>
          <w:numId w:val="2"/>
        </w:numPr>
        <w:spacing w:after="60"/>
      </w:pPr>
      <w:r>
        <w:rPr>
          <w:rFonts w:ascii="Arial" w:cs="Arial" w:eastAsia="Arial" w:hAnsi="Arial"/>
          <w:sz w:val="22"/>
          <w:szCs w:val="22"/>
        </w:rPr>
        <w:t xml:space="preserve">MOTIVO_INGRESO — "presents with", "admitted for".</w:t>
      </w:r>
    </w:p>
    <w:p>
      <w:pPr>
        <w:pStyle w:val="ListParagraph"/>
        <w:numPr>
          <w:ilvl w:val="0"/>
          <w:numId w:val="2"/>
        </w:numPr>
        <w:spacing w:after="60"/>
      </w:pPr>
      <w:r>
        <w:rPr>
          <w:rFonts w:ascii="Arial" w:cs="Arial" w:eastAsia="Arial" w:hAnsi="Arial"/>
          <w:sz w:val="22"/>
          <w:szCs w:val="22"/>
        </w:rPr>
        <w:t xml:space="preserve">SEMÁNTICO_DONANTE — "donor with" (heurística específica para trasplantes).</w:t>
      </w:r>
    </w:p>
    <w:p>
      <w:r>
        <w:rPr>
          <w:rFonts w:ascii="Arial" w:cs="Arial" w:eastAsia="Arial" w:hAnsi="Arial"/>
          <w:sz w:val="12"/>
          <w:szCs w:val="12"/>
        </w:rPr>
        <w:t xml:space="preserve"> </w:t>
      </w:r>
    </w:p>
    <w:p>
      <w:pPr>
        <w:pStyle w:val="Heading2"/>
      </w:pPr>
      <w:r>
        <w:rPr>
          <w:rFonts w:ascii="Arial" w:cs="Arial" w:eastAsia="Arial" w:hAnsi="Arial"/>
        </w:rPr>
        <w:t xml:space="preserve">12.2 Iteraciones del algoritmo</w:t>
      </w:r>
    </w:p>
    <w:p>
      <w:pPr>
        <w:spacing w:after="120"/>
      </w:pPr>
      <w:r>
        <w:rPr>
          <w:rFonts w:ascii="Arial" w:cs="Arial" w:eastAsia="Arial" w:hAnsi="Arial"/>
          <w:sz w:val="22"/>
          <w:szCs w:val="22"/>
        </w:rPr>
        <w:t xml:space="preserve">La implementación se iteró tres veces. La v0.2 con detección por sección del documento (PMH/HPI/FH) resultó demasiado agresiva: filtró eventos reales narrados cronológicamente en el HPI. La versión final (v0.3) conserva NegEx clásico con sólo tres mejoras quirúrgicas: detección de donante, lab report multi-oración y "unlikely" a nivel de oración completa.</w:t>
      </w:r>
    </w:p>
    <w:p>
      <w:r>
        <w:rPr>
          <w:rFonts w:ascii="Arial" w:cs="Arial" w:eastAsia="Arial" w:hAnsi="Arial"/>
          <w:sz w:val="12"/>
          <w:szCs w:val="12"/>
        </w:rPr>
        <w:t xml:space="preserve"> </w:t>
      </w:r>
    </w:p>
    <w:p>
      <w:pPr>
        <w:pStyle w:val="Heading2"/>
      </w:pPr>
      <w:r>
        <w:rPr>
          <w:rFonts w:ascii="Arial" w:cs="Arial" w:eastAsia="Arial" w:hAnsi="Arial"/>
        </w:rPr>
        <w:t xml:space="preserve">12.3 Distribución del contexto en las 2,500 detecciones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Categoría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Cantidad</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del total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AFIRMADO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46.9 %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NEGADO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22.8 %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HISTORICO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319</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HIPOTETICO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114</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MOTIVO_INGRESO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FAMILIAR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SEMANTICO_DONANTE</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0.0 %</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Más de la mitad (53.1 %) de las detecciones del weak supervision NO eran eventos reales. Dato directamente publicable que cuantifica el problema de contexto en la detección por palabras clave.</w:t>
      </w:r>
    </w:p>
    <w:p>
      <w:r>
        <w:rPr>
          <w:rFonts w:ascii="Arial" w:cs="Arial" w:eastAsia="Arial" w:hAnsi="Arial"/>
          <w:sz w:val="12"/>
          <w:szCs w:val="12"/>
        </w:rPr>
        <w:t xml:space="preserve"> </w:t>
      </w:r>
    </w:p>
    <w:p>
      <w:pPr>
        <w:pStyle w:val="Heading2"/>
      </w:pPr>
      <w:r>
        <w:rPr>
          <w:rFonts w:ascii="Arial" w:cs="Arial" w:eastAsia="Arial" w:hAnsi="Arial"/>
        </w:rPr>
        <w:t xml:space="preserve">12.4 Mejora medida contra los 20 casos validados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Sin filtro</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NegEx v0.3</w:t>
            </w:r>
          </w:p>
        </w:tc>
        <w:tc>
          <w:tcPr>
            <w:tcW w:type="dxa" w:w="2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Mejora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Precisión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45.0 %</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+32.8 pp</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Recall (VP conservados)</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100 %</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−22.2 pp</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Detecciones totales (de 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Falsos positivos no resueltos</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2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w:t>
            </w:r>
          </w:p>
        </w:tc>
      </w:tr>
    </w:tbl>
    <w:p>
      <w:r>
        <w:rPr>
          <w:rFonts w:ascii="Arial" w:cs="Arial" w:eastAsia="Arial" w:hAnsi="Arial"/>
          <w:sz w:val="12"/>
          <w:szCs w:val="12"/>
        </w:rPr>
        <w:t xml:space="preserve"> </w:t>
      </w:r>
    </w:p>
    <w:p>
      <w:pPr>
        <w:pStyle w:val="Heading2"/>
      </w:pPr>
      <w:r>
        <w:rPr>
          <w:rFonts w:ascii="Arial" w:cs="Arial" w:eastAsia="Arial" w:hAnsi="Arial"/>
        </w:rPr>
        <w:t xml:space="preserve">12.5 Errores restantes después de NegEx</w:t>
      </w:r>
    </w:p>
    <w:p>
      <w:pPr>
        <w:pStyle w:val="ListParagraph"/>
        <w:numPr>
          <w:ilvl w:val="0"/>
          <w:numId w:val="2"/>
        </w:numPr>
        <w:spacing w:after="60"/>
      </w:pPr>
      <w:r>
        <w:rPr>
          <w:rFonts w:ascii="Arial" w:cs="Arial" w:eastAsia="Arial" w:hAnsi="Arial"/>
          <w:sz w:val="22"/>
          <w:szCs w:val="22"/>
        </w:rPr>
        <w:t xml:space="preserve">n18 "Hepatitis": motivo de ingreso pero el trigger "presented with" se refiere al dolor abdominal en una cláusula previa, no a la hepatitis.</w:t>
      </w:r>
    </w:p>
    <w:p>
      <w:pPr>
        <w:pStyle w:val="ListParagraph"/>
        <w:numPr>
          <w:ilvl w:val="0"/>
          <w:numId w:val="2"/>
        </w:numPr>
        <w:spacing w:after="60"/>
      </w:pPr>
      <w:r>
        <w:rPr>
          <w:rFonts w:ascii="Arial" w:cs="Arial" w:eastAsia="Arial" w:hAnsi="Arial"/>
          <w:sz w:val="22"/>
          <w:szCs w:val="22"/>
        </w:rPr>
        <w:t xml:space="preserve">n16 "AMA": resuelto por separado en mapeo v0.2.</w:t>
      </w:r>
    </w:p>
    <w:p>
      <w:pPr>
        <w:pStyle w:val="ListParagraph"/>
        <w:numPr>
          <w:ilvl w:val="0"/>
          <w:numId w:val="2"/>
        </w:numPr>
        <w:spacing w:after="60"/>
      </w:pPr>
      <w:r>
        <w:rPr>
          <w:rFonts w:ascii="Arial" w:cs="Arial" w:eastAsia="Arial" w:hAnsi="Arial"/>
          <w:sz w:val="22"/>
          <w:szCs w:val="22"/>
        </w:rPr>
        <w:t xml:space="preserve">n17 y n19: discrepancias debatibles con el experto ("concern for", "rule out" son zona gris).</w:t>
      </w:r>
    </w:p>
    <w:p>
      <w:r>
        <w:rPr>
          <w:rFonts w:ascii="Arial" w:cs="Arial" w:eastAsia="Arial" w:hAnsi="Arial"/>
          <w:sz w:val="12"/>
          <w:szCs w:val="12"/>
        </w:rPr>
        <w:t xml:space="preserve"> </w:t>
      </w:r>
    </w:p>
    <w:p>
      <w:pPr>
        <w:pStyle w:val="Heading2"/>
      </w:pPr>
      <w:r>
        <w:rPr>
          <w:rFonts w:ascii="Arial" w:cs="Arial" w:eastAsia="Arial" w:hAnsi="Arial"/>
        </w:rPr>
        <w:t xml:space="preserve">12.6 Implicaciones para el Capítulo III</w:t>
      </w:r>
    </w:p>
    <w:p>
      <w:pPr>
        <w:pStyle w:val="ListParagraph"/>
        <w:numPr>
          <w:ilvl w:val="0"/>
          <w:numId w:val="2"/>
        </w:numPr>
        <w:spacing w:after="60"/>
      </w:pPr>
      <w:r>
        <w:rPr>
          <w:rFonts w:ascii="Arial" w:cs="Arial" w:eastAsia="Arial" w:hAnsi="Arial"/>
          <w:sz w:val="22"/>
          <w:szCs w:val="22"/>
        </w:rPr>
        <w:t xml:space="preserve">Las reglas de contexto solas (sin redes neuronales) pueden subir la precisión del baseline weak supervision del 45 % al 78 %.</w:t>
      </w:r>
    </w:p>
    <w:p>
      <w:pPr>
        <w:pStyle w:val="ListParagraph"/>
        <w:numPr>
          <w:ilvl w:val="0"/>
          <w:numId w:val="2"/>
        </w:numPr>
        <w:spacing w:after="60"/>
      </w:pPr>
      <w:r>
        <w:rPr>
          <w:rFonts w:ascii="Arial" w:cs="Arial" w:eastAsia="Arial" w:hAnsi="Arial"/>
          <w:sz w:val="22"/>
          <w:szCs w:val="22"/>
        </w:rPr>
        <w:t xml:space="preserve">NegEx es citable como algoritmo estándar (Chapman et al., 2001) y la implementación quedó documentada y reproducible.</w:t>
      </w:r>
    </w:p>
    <w:p>
      <w:pPr>
        <w:pStyle w:val="ListParagraph"/>
        <w:numPr>
          <w:ilvl w:val="0"/>
          <w:numId w:val="2"/>
        </w:numPr>
        <w:spacing w:after="60"/>
      </w:pPr>
      <w:r>
        <w:rPr>
          <w:rFonts w:ascii="Arial" w:cs="Arial" w:eastAsia="Arial" w:hAnsi="Arial"/>
          <w:sz w:val="22"/>
          <w:szCs w:val="22"/>
        </w:rPr>
        <w:t xml:space="preserve">Los FP restantes son semánticos (donor → receptor, motivo de ingreso vs evento durante admisión) y justifican técnicamente el siguiente paso: representaciones contextualizadas de BioBERT/ClinicalBERT.</w:t>
      </w:r>
    </w:p>
    <w:p>
      <w:pPr>
        <w:pStyle w:val="ListParagraph"/>
        <w:numPr>
          <w:ilvl w:val="0"/>
          <w:numId w:val="2"/>
        </w:numPr>
        <w:spacing w:after="60"/>
      </w:pPr>
      <w:r>
        <w:rPr>
          <w:rFonts w:ascii="Arial" w:cs="Arial" w:eastAsia="Arial" w:hAnsi="Arial"/>
          <w:sz w:val="22"/>
          <w:szCs w:val="22"/>
        </w:rPr>
        <w:t xml:space="preserve">El trade-off precisión-recall (perder 22 % de VP) es aceptable para el corpus de la Fase 1; se mide y reporta con transparencia.</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v3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2026-05-18T01:19:54.160Z</dcterms:created>
  <dcterms:modified xsi:type="dcterms:W3CDTF">2026-05-18T01:19:54.161Z</dcterms:modified>
</cp:coreProperties>
</file>

<file path=docProps/custom.xml><?xml version="1.0" encoding="utf-8"?>
<Properties xmlns="http://schemas.openxmlformats.org/officeDocument/2006/custom-properties" xmlns:vt="http://schemas.openxmlformats.org/officeDocument/2006/docPropsVTypes"/>
</file>