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Arial" w:cs="Arial" w:eastAsia="Arial" w:hAnsi="Arial"/>
          <w:b/>
          <w:bCs/>
          <w:color w:val="1F3864"/>
          <w:sz w:val="56"/>
          <w:szCs w:val="56"/>
        </w:rPr>
        <w:t xml:space="preserve">INFORME DE AVANCE</w:t>
      </w:r>
    </w:p>
    <w:p>
      <w:pPr>
        <w:spacing w:before="120"/>
        <w:jc w:val="center"/>
      </w:pPr>
      <w:r>
        <w:rPr>
          <w:rFonts w:ascii="Arial" w:cs="Arial" w:eastAsia="Arial" w:hAnsi="Arial"/>
          <w:sz w:val="30"/>
          <w:szCs w:val="30"/>
        </w:rPr>
        <w:t xml:space="preserve">Pipeline de detección y priorización de eventos adversos</w:t>
      </w:r>
    </w:p>
    <w:p>
      <w:pPr>
        <w:spacing w:before="60"/>
        <w:jc w:val="center"/>
      </w:pPr>
      <w:r>
        <w:rPr>
          <w:rFonts w:ascii="Arial" w:cs="Arial" w:eastAsia="Arial" w:hAnsi="Arial"/>
          <w:sz w:val="30"/>
          <w:szCs w:val="30"/>
        </w:rPr>
        <w:t xml:space="preserve">Modelo GEMSES sobre el dataset MIMIC-IV</w:t>
      </w:r>
    </w:p>
    <w:p>
      <w:pPr>
        <w:spacing w:before="800"/>
        <w:jc w:val="center"/>
      </w:pPr>
      <w:r>
        <w:rPr>
          <w:rFonts w:ascii="Arial" w:cs="Arial" w:eastAsia="Arial" w:hAnsi="Arial"/>
          <w:sz w:val="24"/>
          <w:szCs w:val="24"/>
        </w:rPr>
        <w:t xml:space="preserve">Tesis de Maestría en Inteligencia Artificial — UNI</w:t>
      </w:r>
    </w:p>
    <w:p>
      <w:pPr>
        <w:spacing w:before="60"/>
        <w:jc w:val="center"/>
      </w:pPr>
      <w:r>
        <w:rPr>
          <w:rFonts w:ascii="Arial" w:cs="Arial" w:eastAsia="Arial" w:hAnsi="Arial"/>
          <w:sz w:val="24"/>
          <w:szCs w:val="24"/>
        </w:rPr>
        <w:t xml:space="preserve">Curso MIA 303 — Proyectos de Investigación I</w:t>
      </w:r>
    </w:p>
    <w:p>
      <w:pPr>
        <w:spacing w:before="600"/>
        <w:jc w:val="center"/>
      </w:pPr>
      <w:r>
        <w:rPr>
          <w:rFonts w:ascii="Arial" w:cs="Arial" w:eastAsia="Arial" w:hAnsi="Arial"/>
          <w:b/>
          <w:bCs/>
          <w:sz w:val="24"/>
          <w:szCs w:val="24"/>
        </w:rPr>
        <w:t xml:space="preserve">Autor: Carlos Pérez Pérez</w:t>
      </w:r>
    </w:p>
    <w:p>
      <w:pPr>
        <w:spacing w:before="60"/>
        <w:jc w:val="center"/>
      </w:pPr>
      <w:r>
        <w:rPr>
          <w:rFonts w:ascii="Arial" w:cs="Arial" w:eastAsia="Arial" w:hAnsi="Arial"/>
          <w:sz w:val="24"/>
          <w:szCs w:val="24"/>
        </w:rPr>
        <w:t xml:space="preserve">Sesiones: 14 al 17 de mayo de 2026</w:t>
      </w:r>
    </w:p>
    <w:p>
      <w:pPr>
        <w:spacing w:before="60"/>
        <w:jc w:val="center"/>
      </w:pPr>
      <w:r>
        <w:rPr>
          <w:rFonts w:ascii="Arial" w:cs="Arial" w:eastAsia="Arial" w:hAnsi="Arial"/>
          <w:i/>
          <w:iCs/>
          <w:color w:val="595959"/>
          <w:sz w:val="20"/>
          <w:szCs w:val="20"/>
        </w:rPr>
        <w:t xml:space="preserve">Versión 4 — incluye detector estructural de estancia prolongada y matriz integrada con corrección institucional</w:t>
      </w:r>
    </w:p>
    <w:p>
      <w:r>
        <w:br w:type="page"/>
      </w:r>
    </w:p>
    <w:p>
      <w:pPr>
        <w:pStyle w:val="Heading1"/>
      </w:pPr>
      <w:r>
        <w:rPr>
          <w:rFonts w:ascii="Arial" w:cs="Arial" w:eastAsia="Arial" w:hAnsi="Arial"/>
        </w:rP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Resumen ejecutivo</w:t>
      </w:r>
    </w:p>
    <w:p>
      <w:pPr>
        <w:spacing w:after="120"/>
      </w:pPr>
      <w:r>
        <w:rPr>
          <w:rFonts w:ascii="Arial" w:cs="Arial" w:eastAsia="Arial" w:hAnsi="Arial"/>
          <w:sz w:val="22"/>
          <w:szCs w:val="22"/>
        </w:rPr>
        <w:t xml:space="preserve">Sesiones del 14 al 17 de mayo de 2026. El proyecto avanzó por siete etapas que dejan: (a) la primera Matriz de Priorización GEMSES integrando detección clínica (NLP) y estructural (LOS-DRG), (b) un baseline cuantitativo validado por juicio experto con precisión que sube de 45 % a 77.8 % al aplicar filtro de contexto, y (c) una propuesta concreta de mejora institucional al Anexo 2 de la Directiva ERSP de EsSalud.</w:t>
      </w:r>
    </w:p>
    <w:p>
      <w:pPr>
        <w:pStyle w:val="ListParagraph"/>
        <w:numPr>
          <w:ilvl w:val="0"/>
          <w:numId w:val="2"/>
        </w:numPr>
        <w:spacing w:after="60"/>
      </w:pPr>
      <w:r>
        <w:rPr>
          <w:rFonts w:ascii="Arial" w:cs="Arial" w:eastAsia="Arial" w:hAnsi="Arial"/>
          <w:sz w:val="22"/>
          <w:szCs w:val="22"/>
        </w:rPr>
        <w:t xml:space="preserve">Etapa 1 — Instalación y verificación del dataset MIMIC-IV v3.1.</w:t>
      </w:r>
    </w:p>
    <w:p>
      <w:pPr>
        <w:pStyle w:val="ListParagraph"/>
        <w:numPr>
          <w:ilvl w:val="0"/>
          <w:numId w:val="2"/>
        </w:numPr>
        <w:spacing w:after="60"/>
      </w:pPr>
      <w:r>
        <w:rPr>
          <w:rFonts w:ascii="Arial" w:cs="Arial" w:eastAsia="Arial" w:hAnsi="Arial"/>
          <w:sz w:val="22"/>
          <w:szCs w:val="22"/>
        </w:rPr>
        <w:t xml:space="preserve">Etapa 2 — Corrección de la base de datos del Anexo 2 desde la fuente oficial.</w:t>
      </w:r>
    </w:p>
    <w:p>
      <w:pPr>
        <w:pStyle w:val="ListParagraph"/>
        <w:numPr>
          <w:ilvl w:val="0"/>
          <w:numId w:val="2"/>
        </w:numPr>
        <w:spacing w:after="60"/>
      </w:pPr>
      <w:r>
        <w:rPr>
          <w:rFonts w:ascii="Arial" w:cs="Arial" w:eastAsia="Arial" w:hAnsi="Arial"/>
          <w:sz w:val="22"/>
          <w:szCs w:val="22"/>
        </w:rPr>
        <w:t xml:space="preserve">Etapa 3 — Construcción del puente automático entre las notas clínicas y el Anexo 2.</w:t>
      </w:r>
    </w:p>
    <w:p>
      <w:pPr>
        <w:pStyle w:val="ListParagraph"/>
        <w:numPr>
          <w:ilvl w:val="0"/>
          <w:numId w:val="2"/>
        </w:numPr>
        <w:spacing w:after="60"/>
      </w:pPr>
      <w:r>
        <w:rPr>
          <w:rFonts w:ascii="Arial" w:cs="Arial" w:eastAsia="Arial" w:hAnsi="Arial"/>
          <w:sz w:val="22"/>
          <w:szCs w:val="22"/>
        </w:rPr>
        <w:t xml:space="preserve">Etapa 4 — Validación experta de 20 detecciones.</w:t>
      </w:r>
    </w:p>
    <w:p>
      <w:pPr>
        <w:pStyle w:val="ListParagraph"/>
        <w:numPr>
          <w:ilvl w:val="0"/>
          <w:numId w:val="2"/>
        </w:numPr>
        <w:spacing w:after="60"/>
      </w:pPr>
      <w:r>
        <w:rPr>
          <w:rFonts w:ascii="Arial" w:cs="Arial" w:eastAsia="Arial" w:hAnsi="Arial"/>
          <w:sz w:val="22"/>
          <w:szCs w:val="22"/>
        </w:rPr>
        <w:t xml:space="preserve">Etapa 5 — Filtro de contexto NegEx (precisión 45 % → 77.8 %).</w:t>
      </w:r>
    </w:p>
    <w:p>
      <w:pPr>
        <w:pStyle w:val="ListParagraph"/>
        <w:numPr>
          <w:ilvl w:val="0"/>
          <w:numId w:val="2"/>
        </w:numPr>
        <w:spacing w:after="60"/>
      </w:pPr>
      <w:r>
        <w:rPr>
          <w:rFonts w:ascii="Arial" w:cs="Arial" w:eastAsia="Arial" w:hAnsi="Arial"/>
          <w:sz w:val="22"/>
          <w:szCs w:val="22"/>
        </w:rPr>
        <w:t xml:space="preserve">Etapa 6 — Detector estructural de estancia prolongada (id_evento 1007).</w:t>
      </w:r>
    </w:p>
    <w:p>
      <w:pPr>
        <w:pStyle w:val="ListParagraph"/>
        <w:numPr>
          <w:ilvl w:val="0"/>
          <w:numId w:val="2"/>
        </w:numPr>
        <w:spacing w:after="60"/>
      </w:pPr>
      <w:r>
        <w:rPr>
          <w:rFonts w:ascii="Arial" w:cs="Arial" w:eastAsia="Arial" w:hAnsi="Arial"/>
          <w:sz w:val="22"/>
          <w:szCs w:val="22"/>
        </w:rPr>
        <w:t xml:space="preserve">Etapa 7 — Matriz GEMSES integrada con corrección institucional del Anexo 2.</w:t>
      </w:r>
    </w:p>
    <w:p>
      <w:r>
        <w:br w:type="page"/>
      </w:r>
    </w:p>
    <w:p>
      <w:pPr>
        <w:pStyle w:val="Heading1"/>
      </w:pPr>
      <w:r>
        <w:rPr>
          <w:rFonts w:ascii="Arial" w:cs="Arial" w:eastAsia="Arial" w:hAnsi="Arial"/>
        </w:rPr>
        <w:t xml:space="preserve">2. Estado inicial del proyecto</w:t>
      </w:r>
    </w:p>
    <w:p>
      <w:pPr>
        <w:spacing w:after="120"/>
      </w:pPr>
      <w:r>
        <w:rPr>
          <w:rFonts w:ascii="Arial" w:cs="Arial" w:eastAsia="Arial" w:hAnsi="Arial"/>
          <w:sz w:val="22"/>
          <w:szCs w:val="22"/>
        </w:rPr>
        <w:t xml:space="preserve">Al iniciar el periodo los datos estaban comprimidos y la base de datos del modelo GEMSES estaba vacía:</w:t>
      </w:r>
    </w:p>
    <w:p>
      <w:pPr>
        <w:shd w:fill="F2F2F2" w:val="clear"/>
        <w:spacing w:after="0" w:before="0"/>
      </w:pPr>
      <w:r>
        <w:rPr>
          <w:rFonts w:ascii="Consolas" w:cs="Consolas" w:eastAsia="Consolas" w:hAnsi="Consolas"/>
          <w:sz w:val="16"/>
          <w:szCs w:val="16"/>
        </w:rPr>
        <w:t xml:space="preserve">ANTES                                  DESPUES</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C:\MIMIC\                               C:\MIMIC\</w:t>
      </w:r>
    </w:p>
    <w:p>
      <w:pPr>
        <w:shd w:fill="F2F2F2" w:val="clear"/>
        <w:spacing w:after="0" w:before="0"/>
      </w:pPr>
      <w:r>
        <w:rPr>
          <w:rFonts w:ascii="Consolas" w:cs="Consolas" w:eastAsia="Consolas" w:hAnsi="Consolas"/>
          <w:sz w:val="16"/>
          <w:szCs w:val="16"/>
        </w:rPr>
        <w:t xml:space="preserve">  +- note\                                +- mimiciv\        &lt;- NUEVO, datos listos</w:t>
      </w:r>
    </w:p>
    <w:p>
      <w:pPr>
        <w:shd w:fill="F2F2F2" w:val="clear"/>
        <w:spacing w:after="0" w:before="0"/>
      </w:pPr>
      <w:r>
        <w:rPr>
          <w:rFonts w:ascii="Consolas" w:cs="Consolas" w:eastAsia="Consolas" w:hAnsi="Consolas"/>
          <w:sz w:val="16"/>
          <w:szCs w:val="16"/>
        </w:rPr>
        <w:t xml:space="preserve">      +- mimic-iv-3.1.zip (cerrado)        |   +- hosp\  (22 archivos)</w:t>
      </w:r>
    </w:p>
    <w:p>
      <w:pPr>
        <w:shd w:fill="F2F2F2" w:val="clear"/>
        <w:spacing w:after="0" w:before="0"/>
      </w:pPr>
      <w:r>
        <w:rPr>
          <w:rFonts w:ascii="Consolas" w:cs="Consolas" w:eastAsia="Consolas" w:hAnsi="Consolas"/>
          <w:sz w:val="16"/>
          <w:szCs w:val="16"/>
        </w:rPr>
        <w:t xml:space="preserve">      +- note\  (ya extraido)              |   +- icu\   (9 archivos)</w:t>
      </w:r>
    </w:p>
    <w:p>
      <w:pPr>
        <w:shd w:fill="F2F2F2" w:val="clear"/>
        <w:spacing w:after="0" w:before="0"/>
      </w:pPr>
      <w:r>
        <w:rPr>
          <w:rFonts w:ascii="Consolas" w:cs="Consolas" w:eastAsia="Consolas" w:hAnsi="Consolas"/>
          <w:sz w:val="16"/>
          <w:szCs w:val="16"/>
        </w:rPr>
        <w:t xml:space="preserve">                                           +- note\note\  (4 archivos)</w:t>
      </w:r>
    </w:p>
    <w:p>
      <w:pPr>
        <w:shd w:fill="F2F2F2" w:val="clear"/>
        <w:spacing w:after="0" w:before="0"/>
      </w:pPr>
      <w:r>
        <w:rPr>
          <w:rFonts w:ascii="Consolas" w:cs="Consolas" w:eastAsia="Consolas" w:hAnsi="Consolas"/>
          <w:sz w:val="16"/>
          <w:szCs w:val="16"/>
        </w:rPr>
        <w:t xml:space="preserve">                                           +- tesis\   (repositorio de la tesis)</w:t>
      </w:r>
    </w:p>
    <w:p>
      <w:r>
        <w:br w:type="page"/>
      </w:r>
    </w:p>
    <w:p>
      <w:pPr>
        <w:pStyle w:val="Heading1"/>
      </w:pPr>
      <w:r>
        <w:rPr>
          <w:rFonts w:ascii="Arial" w:cs="Arial" w:eastAsia="Arial" w:hAnsi="Arial"/>
        </w:rPr>
        <w:t xml:space="preserve">3. Etapa 1 — Instalación y verificación de MIMIC-IV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Paso</w:t>
            </w:r>
          </w:p>
        </w:tc>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Acción</w:t>
            </w:r>
          </w:p>
        </w:tc>
        <w:tc>
          <w:tcPr>
            <w:tcW w:type="dxa" w:w="4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Resultado</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Revisión del contenido descargado en C:\MIMIC</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 archivos ZIP + notas ya extraídas</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1.2</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Descompresión de mimic-iv-3.1.zip (10.3 GB)</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31 archivos: 22 de hosp/ + 9 de icu/</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1.3</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Renombrado de la carpeta a 'mimiciv'</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Coincide con la ruta esperada</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1.4</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Verificación de integridad con huellas SHA-256</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33 de 33 archivos íntegros</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1.5</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Ejecución del notebook de exploración inicial</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Sin errores; 11 vistas conectadas</w:t>
            </w:r>
          </w:p>
        </w:tc>
      </w:tr>
    </w:tbl>
    <w:p>
      <w:r>
        <w:rPr>
          <w:rFonts w:ascii="Arial" w:cs="Arial" w:eastAsia="Arial" w:hAnsi="Arial"/>
          <w:sz w:val="12"/>
          <w:szCs w:val="12"/>
        </w:rPr>
        <w:t xml:space="preserve"> </w:t>
      </w:r>
    </w:p>
    <w:p>
      <w:pPr>
        <w:spacing w:after="120"/>
      </w:pPr>
      <w:r>
        <w:rPr>
          <w:rFonts w:ascii="Arial" w:cs="Arial" w:eastAsia="Arial" w:hAnsi="Arial"/>
          <w:sz w:val="22"/>
          <w:szCs w:val="22"/>
        </w:rPr>
        <w:t xml:space="preserve">Hallazgo: 331,793 epicrisis de 145,914 pacientes; longitud media ~10,500 caracteres; 99.86 % requiere segmentación.</w:t>
      </w:r>
    </w:p>
    <w:p>
      <w:r>
        <w:br w:type="page"/>
      </w:r>
    </w:p>
    <w:p>
      <w:pPr>
        <w:pStyle w:val="Heading1"/>
      </w:pPr>
      <w:r>
        <w:rPr>
          <w:rFonts w:ascii="Arial" w:cs="Arial" w:eastAsia="Arial" w:hAnsi="Arial"/>
        </w:rPr>
        <w:t xml:space="preserve">4. Etapa 2 — Corrección de la base de datos del Anexo 2</w:t>
      </w:r>
    </w:p>
    <w:p>
      <w:pPr>
        <w:pStyle w:val="Heading2"/>
      </w:pPr>
      <w:r>
        <w:rPr>
          <w:rFonts w:ascii="Arial" w:cs="Arial" w:eastAsia="Arial" w:hAnsi="Arial"/>
        </w:rPr>
        <w:t xml:space="preserve">4.1 Problemas encontrados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c>
          <w:tcPr>
            <w:tcW w:type="dxa" w:w="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t>
            </w:r>
          </w:p>
        </w:tc>
        <w:tc>
          <w:tcPr>
            <w:tcW w:type="dxa" w:w="5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Problema</w:t>
            </w:r>
          </w:p>
        </w:tc>
        <w:tc>
          <w:tcPr>
            <w:tcW w:type="dxa" w:w="3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Gravedad</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PDF de la Directiva 100 % corrupto</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Alta</w:t>
            </w:r>
          </w:p>
        </w:tc>
      </w:tr>
      <w:tr>
        <w:tc>
          <w:tcPr>
            <w:tcW w:type="dxa" w:w="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w:t>
            </w:r>
          </w:p>
        </w:tc>
        <w:tc>
          <w:tcPr>
            <w:tcW w:type="dxa" w:w="55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Dos versiones contradictorias del Anexo 2</w:t>
            </w:r>
          </w:p>
        </w:tc>
        <w:tc>
          <w:tcPr>
            <w:tcW w:type="dxa" w:w="3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Alta</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Codificación del CSV rota</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Media</w:t>
            </w:r>
          </w:p>
        </w:tc>
      </w:tr>
      <w:tr>
        <w:tc>
          <w:tcPr>
            <w:tcW w:type="dxa" w:w="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w:t>
            </w:r>
          </w:p>
        </w:tc>
        <w:tc>
          <w:tcPr>
            <w:tcW w:type="dxa" w:w="55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Naturaleza Infección partida en 5 variantes</w:t>
            </w:r>
          </w:p>
        </w:tc>
        <w:tc>
          <w:tcPr>
            <w:tcW w:type="dxa" w:w="3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Media</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33 eventos con Impacto que no cuadra con fórmula GEMSES</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Media</w:t>
            </w:r>
          </w:p>
        </w:tc>
      </w:tr>
    </w:tbl>
    <w:p>
      <w:r>
        <w:rPr>
          <w:rFonts w:ascii="Arial" w:cs="Arial" w:eastAsia="Arial" w:hAnsi="Arial"/>
          <w:sz w:val="12"/>
          <w:szCs w:val="12"/>
        </w:rPr>
        <w:t xml:space="preserve"> </w:t>
      </w:r>
    </w:p>
    <w:p>
      <w:pPr>
        <w:pStyle w:val="Heading2"/>
      </w:pPr>
      <w:r>
        <w:rPr>
          <w:rFonts w:ascii="Arial" w:cs="Arial" w:eastAsia="Arial" w:hAnsi="Arial"/>
        </w:rPr>
        <w:t xml:space="preserve">4.2 Acciones realizadas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Paso</w:t>
            </w:r>
          </w:p>
        </w:tc>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Acción</w:t>
            </w:r>
          </w:p>
        </w:tc>
        <w:tc>
          <w:tcPr>
            <w:tcW w:type="dxa" w:w="4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Resultado</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2.1</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Carlos entregó Directiva ERSP - Anexo 2.xlsx</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Fuente de verdad</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2.2</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Verificación de la fórmula</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Pesos 0.40 / 0.20 / 0.15 / 0.20</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2.3</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Regeneración del CSV desde el oficial</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231 eventos, UTF-8, 12 naturalezas</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2.4</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Normalización</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 variantes -&gt; 1</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2.5</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Trazabilidad</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Columnas impacto, impacto_formula, verificacion</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2.6</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Carga en gemses.db</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Tabla anexo2_eventos_adversos</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2.7</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Archivado de versión no oficial</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processed/_descartado/</w:t>
            </w:r>
          </w:p>
        </w:tc>
      </w:tr>
    </w:tbl>
    <w:p>
      <w:r>
        <w:br w:type="page"/>
      </w:r>
    </w:p>
    <w:p>
      <w:pPr>
        <w:pStyle w:val="Heading1"/>
      </w:pPr>
      <w:r>
        <w:rPr>
          <w:rFonts w:ascii="Arial" w:cs="Arial" w:eastAsia="Arial" w:hAnsi="Arial"/>
        </w:rPr>
        <w:t xml:space="preserve">5. Etapa 3 — Construcción del puente MIMIC ↔ Anexo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Paso</w:t>
            </w:r>
          </w:p>
        </w:tc>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Acción</w:t>
            </w:r>
          </w:p>
        </w:tc>
        <w:tc>
          <w:tcPr>
            <w:tcW w:type="dxa" w:w="4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Resultado</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3.1</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Diccionario mapeo_anexo2_ingles.json (v0.2)</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51 eventos -&gt; 186 patrones</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3.2</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 fase2_deteccion_anexo2.ipynb</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MIMIC + gemses.db + GEMSES</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3.3</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Ejecución de extremo a extremo</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Sin errores</w:t>
            </w:r>
          </w:p>
        </w:tc>
      </w:tr>
    </w:tbl>
    <w:p>
      <w:r>
        <w:rPr>
          <w:rFonts w:ascii="Arial" w:cs="Arial" w:eastAsia="Arial" w:hAnsi="Arial"/>
          <w:sz w:val="12"/>
          <w:szCs w:val="12"/>
        </w:rPr>
        <w:t xml:space="preserve"> </w:t>
      </w:r>
    </w:p>
    <w:p>
      <w:pPr>
        <w:pStyle w:val="ListParagraph"/>
        <w:numPr>
          <w:ilvl w:val="0"/>
          <w:numId w:val="2"/>
        </w:numPr>
        <w:spacing w:after="60"/>
      </w:pPr>
      <w:r>
        <w:rPr>
          <w:rFonts w:ascii="Arial" w:cs="Arial" w:eastAsia="Arial" w:hAnsi="Arial"/>
          <w:sz w:val="22"/>
          <w:szCs w:val="22"/>
        </w:rPr>
        <w:t xml:space="preserve">1,358 notas (67.9 %) con al menos un evento detectado en muestra de 2,000.</w:t>
      </w:r>
    </w:p>
    <w:p>
      <w:pPr>
        <w:pStyle w:val="ListParagraph"/>
        <w:numPr>
          <w:ilvl w:val="0"/>
          <w:numId w:val="2"/>
        </w:numPr>
        <w:spacing w:after="60"/>
      </w:pPr>
      <w:r>
        <w:rPr>
          <w:rFonts w:ascii="Arial" w:cs="Arial" w:eastAsia="Arial" w:hAnsi="Arial"/>
          <w:sz w:val="22"/>
          <w:szCs w:val="22"/>
        </w:rPr>
        <w:t xml:space="preserve">2,500 detecciones, 35 tipos de evento.</w:t>
      </w:r>
    </w:p>
    <w:p>
      <w:pPr>
        <w:pStyle w:val="ListParagraph"/>
        <w:numPr>
          <w:ilvl w:val="0"/>
          <w:numId w:val="2"/>
        </w:numPr>
        <w:spacing w:after="60"/>
      </w:pPr>
      <w:r>
        <w:rPr>
          <w:rFonts w:ascii="Arial" w:cs="Arial" w:eastAsia="Arial" w:hAnsi="Arial"/>
          <w:sz w:val="22"/>
          <w:szCs w:val="22"/>
        </w:rPr>
        <w:t xml:space="preserve">Limitación: el 67.9 % está inflado por falta de manejo de negación.</w:t>
      </w:r>
    </w:p>
    <w:p>
      <w:r>
        <w:br w:type="page"/>
      </w:r>
    </w:p>
    <w:p>
      <w:pPr>
        <w:pStyle w:val="Heading1"/>
      </w:pPr>
      <w:r>
        <w:rPr>
          <w:rFonts w:ascii="Arial" w:cs="Arial" w:eastAsia="Arial" w:hAnsi="Arial"/>
        </w:rPr>
        <w:t xml:space="preserve">6. Etapa 4 — Validación experta de 20 detecciones</w:t>
      </w:r>
    </w:p>
    <w:p>
      <w:pPr>
        <w:spacing w:after="120"/>
      </w:pPr>
      <w:r>
        <w:rPr>
          <w:rFonts w:ascii="Arial" w:cs="Arial" w:eastAsia="Arial" w:hAnsi="Arial"/>
          <w:sz w:val="22"/>
          <w:szCs w:val="22"/>
        </w:rPr>
        <w:t xml:space="preserve">Carlos llenó el CSV el 17/05/2026 en su rol de experto en gestión de calidad de EsSalud.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Paso</w:t>
            </w:r>
          </w:p>
        </w:tc>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Acción</w:t>
            </w:r>
          </w:p>
        </w:tc>
        <w:tc>
          <w:tcPr>
            <w:tcW w:type="dxa" w:w="4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Resultado</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4.1</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Selección estratificada de 20 detecciones</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Mezcla alta/media/baja</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4.2</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Extracción del fragmento (±350 chars)</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Del campo discharge.text</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4.3</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Traducción al castellano</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Columna fragmento_es</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4.4</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Generación del CSV de validación</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Listo para el experto</w:t>
            </w:r>
          </w:p>
        </w:tc>
      </w:tr>
    </w:tbl>
    <w:p>
      <w:r>
        <w:br w:type="page"/>
      </w:r>
    </w:p>
    <w:p>
      <w:pPr>
        <w:pStyle w:val="Heading1"/>
      </w:pPr>
      <w:r>
        <w:rPr>
          <w:rFonts w:ascii="Arial" w:cs="Arial" w:eastAsia="Arial" w:hAnsi="Arial"/>
        </w:rPr>
        <w:t xml:space="preserve">7. Esquemas del proyecto</w:t>
      </w:r>
    </w:p>
    <w:p>
      <w:pPr>
        <w:pStyle w:val="Heading2"/>
      </w:pPr>
      <w:r>
        <w:rPr>
          <w:rFonts w:ascii="Arial" w:cs="Arial" w:eastAsia="Arial" w:hAnsi="Arial"/>
        </w:rPr>
        <w:t xml:space="preserve">7.1 Pipeline integrado (Etapas 3, 5, 6, 7)</w:t>
      </w:r>
    </w:p>
    <w:p>
      <w:pPr>
        <w:shd w:fill="F2F2F2" w:val="clear"/>
        <w:spacing w:after="0" w:before="0"/>
      </w:pPr>
      <w:r>
        <w:rPr>
          <w:rFonts w:ascii="Consolas" w:cs="Consolas" w:eastAsia="Consolas" w:hAnsi="Consolas"/>
          <w:sz w:val="16"/>
          <w:szCs w:val="16"/>
        </w:rPr>
        <w:t xml:space="preserve">     FUENTE 1: MIMIC notes               FUENTE 2: Anexo 2</w:t>
      </w:r>
    </w:p>
    <w:p>
      <w:pPr>
        <w:shd w:fill="F2F2F2" w:val="clear"/>
        <w:spacing w:after="0" w:before="0"/>
      </w:pPr>
      <w:r>
        <w:rPr>
          <w:rFonts w:ascii="Consolas" w:cs="Consolas" w:eastAsia="Consolas" w:hAnsi="Consolas"/>
          <w:sz w:val="16"/>
          <w:szCs w:val="16"/>
        </w:rPr>
        <w:t xml:space="preserve">     discharge.text                       231 eventos valorados</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[Etapa 3] reglas de palabras clave          |</w:t>
      </w:r>
    </w:p>
    <w:p>
      <w:pPr>
        <w:shd w:fill="F2F2F2" w:val="clear"/>
        <w:spacing w:after="0" w:before="0"/>
      </w:pPr>
      <w:r>
        <w:rPr>
          <w:rFonts w:ascii="Consolas" w:cs="Consolas" w:eastAsia="Consolas" w:hAnsi="Consolas"/>
          <w:sz w:val="16"/>
          <w:szCs w:val="16"/>
        </w:rPr>
        <w:t xml:space="preserve">     2,500 detecciones (precision 45%)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[Etapa 5] NegEx clasifica contexto          |</w:t>
      </w:r>
    </w:p>
    <w:p>
      <w:pPr>
        <w:shd w:fill="F2F2F2" w:val="clear"/>
        <w:spacing w:after="0" w:before="0"/>
      </w:pPr>
      <w:r>
        <w:rPr>
          <w:rFonts w:ascii="Consolas" w:cs="Consolas" w:eastAsia="Consolas" w:hAnsi="Consolas"/>
          <w:sz w:val="16"/>
          <w:szCs w:val="16"/>
        </w:rPr>
        <w:t xml:space="preserve">     -&gt; AFIRMADO / NEGADO / HIST / FAM / ...     |</w:t>
      </w:r>
    </w:p>
    <w:p>
      <w:pPr>
        <w:shd w:fill="F2F2F2" w:val="clear"/>
        <w:spacing w:after="0" w:before="0"/>
      </w:pPr>
      <w:r>
        <w:rPr>
          <w:rFonts w:ascii="Consolas" w:cs="Consolas" w:eastAsia="Consolas" w:hAnsi="Consolas"/>
          <w:sz w:val="16"/>
          <w:szCs w:val="16"/>
        </w:rPr>
        <w:t xml:space="preserve">     filtrar: solo AFIRMADO (1,172)              |</w:t>
      </w:r>
    </w:p>
    <w:p>
      <w:pPr>
        <w:shd w:fill="F2F2F2" w:val="clear"/>
        <w:spacing w:after="0" w:before="0"/>
      </w:pPr>
      <w:r>
        <w:rPr>
          <w:rFonts w:ascii="Consolas" w:cs="Consolas" w:eastAsia="Consolas" w:hAnsi="Consolas"/>
          <w:sz w:val="16"/>
          <w:szCs w:val="16"/>
        </w:rPr>
        <w:t xml:space="preserve">     (precision 78%)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        FUENTE 3: MIMIC structured  |</w:t>
      </w:r>
    </w:p>
    <w:p>
      <w:pPr>
        <w:shd w:fill="F2F2F2" w:val="clear"/>
        <w:spacing w:after="0" w:before="0"/>
      </w:pPr>
      <w:r>
        <w:rPr>
          <w:rFonts w:ascii="Consolas" w:cs="Consolas" w:eastAsia="Consolas" w:hAnsi="Consolas"/>
          <w:sz w:val="16"/>
          <w:szCs w:val="16"/>
        </w:rPr>
        <w:t xml:space="preserve">            |         admissions + drgcodes      |</w:t>
      </w:r>
    </w:p>
    <w:p>
      <w:pPr>
        <w:shd w:fill="F2F2F2" w:val="clear"/>
        <w:spacing w:after="0" w:before="0"/>
      </w:pPr>
      <w:r>
        <w:rPr>
          <w:rFonts w:ascii="Consolas" w:cs="Consolas" w:eastAsia="Consolas" w:hAnsi="Consolas"/>
          <w:sz w:val="16"/>
          <w:szCs w:val="16"/>
        </w:rPr>
        <w:t xml:space="preserve">            |              |                     |</w:t>
      </w:r>
    </w:p>
    <w:p>
      <w:pPr>
        <w:shd w:fill="F2F2F2" w:val="clear"/>
        <w:spacing w:after="0" w:before="0"/>
      </w:pPr>
      <w:r>
        <w:rPr>
          <w:rFonts w:ascii="Consolas" w:cs="Consolas" w:eastAsia="Consolas" w:hAnsi="Consolas"/>
          <w:sz w:val="16"/>
          <w:szCs w:val="16"/>
        </w:rPr>
        <w:t xml:space="preserve">            |        [Etapa 6] LOS vs P75-DRG    |</w:t>
      </w:r>
    </w:p>
    <w:p>
      <w:pPr>
        <w:shd w:fill="F2F2F2" w:val="clear"/>
        <w:spacing w:after="0" w:before="0"/>
      </w:pPr>
      <w:r>
        <w:rPr>
          <w:rFonts w:ascii="Consolas" w:cs="Consolas" w:eastAsia="Consolas" w:hAnsi="Consolas"/>
          <w:sz w:val="16"/>
          <w:szCs w:val="16"/>
        </w:rPr>
        <w:t xml:space="preserve">            |        327 estancias prolongadas   |</w:t>
      </w:r>
    </w:p>
    <w:p>
      <w:pPr>
        <w:shd w:fill="F2F2F2" w:val="clear"/>
        <w:spacing w:after="0" w:before="0"/>
      </w:pPr>
      <w:r>
        <w:rPr>
          <w:rFonts w:ascii="Consolas" w:cs="Consolas" w:eastAsia="Consolas" w:hAnsi="Consolas"/>
          <w:sz w:val="16"/>
          <w:szCs w:val="16"/>
        </w:rPr>
        <w:t xml:space="preserve">            |        (id_evento 1007)            |</w:t>
      </w:r>
    </w:p>
    <w:p>
      <w:pPr>
        <w:shd w:fill="F2F2F2" w:val="clear"/>
        <w:spacing w:after="0" w:before="0"/>
      </w:pPr>
      <w:r>
        <w:rPr>
          <w:rFonts w:ascii="Consolas" w:cs="Consolas" w:eastAsia="Consolas" w:hAnsi="Consolas"/>
          <w:sz w:val="16"/>
          <w:szCs w:val="16"/>
        </w:rPr>
        <w:t xml:space="preserve">            |              |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[Etapa 7] integracion (1,499)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 impacto corregido &lt;-------+</w:t>
      </w:r>
    </w:p>
    <w:p>
      <w:pPr>
        <w:shd w:fill="F2F2F2" w:val="clear"/>
        <w:spacing w:after="0" w:before="0"/>
      </w:pPr>
      <w:r>
        <w:rPr>
          <w:rFonts w:ascii="Consolas" w:cs="Consolas" w:eastAsia="Consolas" w:hAnsi="Consolas"/>
          <w:sz w:val="16"/>
          <w:szCs w:val="16"/>
        </w:rPr>
        <w:t xml:space="preserve">                  |    (33 eventos con correccion</w:t>
      </w:r>
    </w:p>
    <w:p>
      <w:pPr>
        <w:shd w:fill="F2F2F2" w:val="clear"/>
        <w:spacing w:after="0" w:before="0"/>
      </w:pPr>
      <w:r>
        <w:rPr>
          <w:rFonts w:ascii="Consolas" w:cs="Consolas" w:eastAsia="Consolas" w:hAnsi="Consolas"/>
          <w:sz w:val="16"/>
          <w:szCs w:val="16"/>
        </w:rPr>
        <w:t xml:space="preserve">                  |     formula GEMSES oficial)</w:t>
      </w:r>
    </w:p>
    <w:p>
      <w:pPr>
        <w:shd w:fill="F2F2F2" w:val="clear"/>
        <w:spacing w:after="0" w:before="0"/>
      </w:pPr>
      <w:r>
        <w:rPr>
          <w:rFonts w:ascii="Consolas" w:cs="Consolas" w:eastAsia="Consolas" w:hAnsi="Consolas"/>
          <w:sz w:val="16"/>
          <w:szCs w:val="16"/>
        </w:rPr>
        <w:t xml:space="preserve">                  v</w:t>
      </w:r>
    </w:p>
    <w:p>
      <w:pPr>
        <w:shd w:fill="F2F2F2" w:val="clear"/>
        <w:spacing w:after="0" w:before="0"/>
      </w:pPr>
      <w:r>
        <w:rPr>
          <w:rFonts w:ascii="Consolas" w:cs="Consolas" w:eastAsia="Consolas" w:hAnsi="Consolas"/>
          <w:sz w:val="16"/>
          <w:szCs w:val="16"/>
        </w:rPr>
        <w:t xml:space="preserve">            Matriz GEMSES integrada</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                  v</w:t>
      </w:r>
    </w:p>
    <w:p>
      <w:pPr>
        <w:shd w:fill="F2F2F2" w:val="clear"/>
        <w:spacing w:after="0" w:before="0"/>
      </w:pPr>
      <w:r>
        <w:rPr>
          <w:rFonts w:ascii="Consolas" w:cs="Consolas" w:eastAsia="Consolas" w:hAnsi="Consolas"/>
          <w:sz w:val="16"/>
          <w:szCs w:val="16"/>
        </w:rPr>
        <w:t xml:space="preserve">        Verde / Amarillo / Rojo</w:t>
      </w:r>
    </w:p>
    <w:p>
      <w:r>
        <w:rPr>
          <w:rFonts w:ascii="Arial" w:cs="Arial" w:eastAsia="Arial" w:hAnsi="Arial"/>
          <w:sz w:val="12"/>
          <w:szCs w:val="12"/>
        </w:rPr>
        <w:t xml:space="preserve"> </w:t>
      </w:r>
    </w:p>
    <w:p>
      <w:pPr>
        <w:pStyle w:val="Heading2"/>
      </w:pPr>
      <w:r>
        <w:rPr>
          <w:rFonts w:ascii="Arial" w:cs="Arial" w:eastAsia="Arial" w:hAnsi="Arial"/>
        </w:rPr>
        <w:t xml:space="preserve">7.2 Las dos llaves</w:t>
      </w:r>
    </w:p>
    <w:p>
      <w:pPr>
        <w:shd w:fill="F2F2F2" w:val="clear"/>
        <w:spacing w:after="0" w:before="0"/>
      </w:pPr>
      <w:r>
        <w:rPr>
          <w:rFonts w:ascii="Consolas" w:cs="Consolas" w:eastAsia="Consolas" w:hAnsi="Consolas"/>
          <w:sz w:val="16"/>
          <w:szCs w:val="16"/>
        </w:rPr>
        <w:t xml:space="preserve">subject_id  -&gt;  el PACIENTE          (como el DNI)</w:t>
      </w:r>
    </w:p>
    <w:p>
      <w:pPr>
        <w:shd w:fill="F2F2F2" w:val="clear"/>
        <w:spacing w:after="0" w:before="0"/>
      </w:pPr>
      <w:r>
        <w:rPr>
          <w:rFonts w:ascii="Consolas" w:cs="Consolas" w:eastAsia="Consolas" w:hAnsi="Consolas"/>
          <w:sz w:val="16"/>
          <w:szCs w:val="16"/>
        </w:rPr>
        <w:t xml:space="preserve">hadm_id     -&gt;  la HOSPITALIZACION   (como el numero de cuenta)</w:t>
      </w:r>
    </w:p>
    <w:p>
      <w:r>
        <w:rPr>
          <w:rFonts w:ascii="Arial" w:cs="Arial" w:eastAsia="Arial" w:hAnsi="Arial"/>
          <w:sz w:val="12"/>
          <w:szCs w:val="12"/>
        </w:rPr>
        <w:t xml:space="preserve"> </w:t>
      </w:r>
    </w:p>
    <w:p>
      <w:pPr>
        <w:pStyle w:val="Heading2"/>
      </w:pPr>
      <w:r>
        <w:rPr>
          <w:rFonts w:ascii="Arial" w:cs="Arial" w:eastAsia="Arial" w:hAnsi="Arial"/>
        </w:rPr>
        <w:t xml:space="preserve">7.3 Flujo de cálculo de la Matriz GEMSES</w:t>
      </w:r>
    </w:p>
    <w:p>
      <w:pPr>
        <w:shd w:fill="F2F2F2" w:val="clear"/>
        <w:spacing w:after="0" w:before="0"/>
      </w:pPr>
      <w:r>
        <w:rPr>
          <w:rFonts w:ascii="Consolas" w:cs="Consolas" w:eastAsia="Consolas" w:hAnsi="Consolas"/>
          <w:sz w:val="16"/>
          <w:szCs w:val="16"/>
        </w:rPr>
        <w:t xml:space="preserve">B = A / sum(a)                       (Indice de Frecuencia)</w:t>
      </w:r>
    </w:p>
    <w:p>
      <w:pPr>
        <w:shd w:fill="F2F2F2" w:val="clear"/>
        <w:spacing w:after="0" w:before="0"/>
      </w:pPr>
      <w:r>
        <w:rPr>
          <w:rFonts w:ascii="Consolas" w:cs="Consolas" w:eastAsia="Consolas" w:hAnsi="Consolas"/>
          <w:sz w:val="16"/>
          <w:szCs w:val="16"/>
        </w:rPr>
        <w:t xml:space="preserve">G = c*0.40 + d*0.20 + e*0.15 + f*0.20 (Impacto -- formula oficial GEMSES)</w:t>
      </w:r>
    </w:p>
    <w:p>
      <w:pPr>
        <w:shd w:fill="F2F2F2" w:val="clear"/>
        <w:spacing w:after="0" w:before="0"/>
      </w:pPr>
      <w:r>
        <w:rPr>
          <w:rFonts w:ascii="Consolas" w:cs="Consolas" w:eastAsia="Consolas" w:hAnsi="Consolas"/>
          <w:sz w:val="16"/>
          <w:szCs w:val="16"/>
        </w:rPr>
        <w:t xml:space="preserve">H = B * G                            (Riesgo)</w:t>
      </w:r>
    </w:p>
    <w:p>
      <w:pPr>
        <w:shd w:fill="F2F2F2" w:val="clear"/>
        <w:spacing w:after="0" w:before="0"/>
      </w:pPr>
      <w:r>
        <w:rPr>
          <w:rFonts w:ascii="Consolas" w:cs="Consolas" w:eastAsia="Consolas" w:hAnsi="Consolas"/>
          <w:sz w:val="16"/>
          <w:szCs w:val="16"/>
        </w:rPr>
        <w:t xml:space="preserve">I = H / sum(H)                       (Indice de Impacto)</w:t>
      </w:r>
    </w:p>
    <w:p>
      <w:pPr>
        <w:shd w:fill="F2F2F2" w:val="clear"/>
        <w:spacing w:after="0" w:before="0"/>
      </w:pPr>
      <w:r>
        <w:rPr>
          <w:rFonts w:ascii="Consolas" w:cs="Consolas" w:eastAsia="Consolas" w:hAnsi="Consolas"/>
          <w:sz w:val="16"/>
          <w:szCs w:val="16"/>
        </w:rPr>
        <w:t xml:space="preserve">J = I * 100                          (Nivel de Gestion)</w:t>
      </w:r>
    </w:p>
    <w:p>
      <w:pPr>
        <w:shd w:fill="F2F2F2" w:val="clear"/>
        <w:spacing w:after="0" w:before="0"/>
      </w:pPr>
      <w:r>
        <w:rPr>
          <w:rFonts w:ascii="Consolas" w:cs="Consolas" w:eastAsia="Consolas" w:hAnsi="Consolas"/>
          <w:sz w:val="16"/>
          <w:szCs w:val="16"/>
        </w:rPr>
        <w:t xml:space="preserve">   P25 -&gt; VERDE     P50 -&gt; AMARILLO     P75 -&gt; ROJO</w:t>
      </w:r>
    </w:p>
    <w:p>
      <w:r>
        <w:br w:type="page"/>
      </w:r>
    </w:p>
    <w:p>
      <w:pPr>
        <w:pStyle w:val="Heading1"/>
      </w:pPr>
      <w:r>
        <w:rPr>
          <w:rFonts w:ascii="Arial" w:cs="Arial" w:eastAsia="Arial" w:hAnsi="Arial"/>
        </w:rPr>
        <w:t xml:space="preserve">8. Estructura de archivos del proyecto</w:t>
      </w:r>
    </w:p>
    <w:p>
      <w:pPr>
        <w:pStyle w:val="Heading2"/>
      </w:pPr>
      <w:r>
        <w:rPr>
          <w:rFonts w:ascii="Arial" w:cs="Arial" w:eastAsia="Arial" w:hAnsi="Arial"/>
        </w:rPr>
        <w:t xml:space="preserve">8.1 En C:\BASE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Archivo</w:t>
            </w:r>
          </w:p>
        </w:tc>
        <w:tc>
          <w:tcPr>
            <w:tcW w:type="dxa" w:w="5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Descripción</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processed/anexo2_eventos_adversos.csv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Anexo 2 corregido (oficial)</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db/gemses.db</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Tabla anexo2_eventos_adversos</w:t>
            </w:r>
          </w:p>
        </w:tc>
      </w:tr>
    </w:tbl>
    <w:p>
      <w:r>
        <w:rPr>
          <w:rFonts w:ascii="Arial" w:cs="Arial" w:eastAsia="Arial" w:hAnsi="Arial"/>
          <w:sz w:val="12"/>
          <w:szCs w:val="12"/>
        </w:rPr>
        <w:t xml:space="preserve"> </w:t>
      </w:r>
    </w:p>
    <w:p>
      <w:pPr>
        <w:pStyle w:val="Heading2"/>
      </w:pPr>
      <w:r>
        <w:rPr>
          <w:rFonts w:ascii="Arial" w:cs="Arial" w:eastAsia="Arial" w:hAnsi="Arial"/>
        </w:rPr>
        <w:t xml:space="preserve">8.2 En C:\MIMIC\tesis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Archivo</w:t>
            </w:r>
          </w:p>
        </w:tc>
        <w:tc>
          <w:tcPr>
            <w:tcW w:type="dxa" w:w="5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Descripción</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notebooks/fase2_deteccion_anexo2.ipynb</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Puente MIMIC ↔ Anexo 2 (Etapa 3)</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notebooks/fase2_nlp_negacion.ipynb</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Filtro NegEx (Etapa 5)</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notebooks/negex_clinical.py</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 v0.3 en Python puro</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notebooks/mapeo_anexo2_ingles.json</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Diccionario ES↔EN (v0.2)</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notebooks/fase3_estancia_prolongada.ipynb</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Detector LOS-DRG (Etapa 6)</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notebooks/fase4_matriz_gemses_integrada.ipynb</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Integración y corrección (Etapa 7)</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fase2_detecciones_weak_supervision.csv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Corpus inicial 2,500</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fase2_detecciones_filtradas_negex.csv</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Con columna contexto</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fase2_validacion_experta_20notas.csv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Set validado</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fase2_analisis_validacion.csv</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Categoría de error</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fase3_estancia_prolongada.csv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Detector LOS, 383,294 hadm</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fase3_estancia_prolongada_positivas.csv</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95,651 positivas</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fase4_detecciones_integradas.csv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1,499 detecciones unificadas</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fase4_matriz_gemses_integrada.csv</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Matriz final con impacto corregido</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docs/06_bitacora/Informe_Avance_..._v4.docx</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Este informe</w:t>
            </w:r>
          </w:p>
        </w:tc>
      </w:tr>
    </w:tbl>
    <w:p>
      <w:r>
        <w:br w:type="page"/>
      </w:r>
    </w:p>
    <w:p>
      <w:pPr>
        <w:pStyle w:val="Heading1"/>
      </w:pPr>
      <w:r>
        <w:rPr>
          <w:rFonts w:ascii="Arial" w:cs="Arial" w:eastAsia="Arial" w:hAnsi="Arial"/>
        </w:rPr>
        <w:t xml:space="preserve">9. Roadmap y estado del proyecto</w:t>
      </w:r>
    </w:p>
    <w:p>
      <w:pPr>
        <w:shd w:fill="F2F2F2" w:val="clear"/>
        <w:spacing w:after="0" w:before="0"/>
      </w:pPr>
      <w:r>
        <w:rPr>
          <w:rFonts w:ascii="Consolas" w:cs="Consolas" w:eastAsia="Consolas" w:hAnsi="Consolas"/>
          <w:sz w:val="16"/>
          <w:szCs w:val="16"/>
        </w:rPr>
        <w:t xml:space="preserve">[OK ] Acceso PhysioNet + DUA firmado</w:t>
      </w:r>
    </w:p>
    <w:p>
      <w:pPr>
        <w:shd w:fill="F2F2F2" w:val="clear"/>
        <w:spacing w:after="0" w:before="0"/>
      </w:pPr>
      <w:r>
        <w:rPr>
          <w:rFonts w:ascii="Consolas" w:cs="Consolas" w:eastAsia="Consolas" w:hAnsi="Consolas"/>
          <w:sz w:val="16"/>
          <w:szCs w:val="16"/>
        </w:rPr>
        <w:t xml:space="preserve">[OK ] Datos descargados</w:t>
      </w:r>
    </w:p>
    <w:p>
      <w:pPr>
        <w:shd w:fill="F2F2F2" w:val="clear"/>
        <w:spacing w:after="0" w:before="0"/>
      </w:pPr>
      <w:r>
        <w:rPr>
          <w:rFonts w:ascii="Consolas" w:cs="Consolas" w:eastAsia="Consolas" w:hAnsi="Consolas"/>
          <w:sz w:val="16"/>
          <w:szCs w:val="16"/>
        </w:rPr>
        <w:t xml:space="preserve">[OK ] Datos instalados, verificados y conectados</w:t>
      </w:r>
    </w:p>
    <w:p>
      <w:pPr>
        <w:shd w:fill="F2F2F2" w:val="clear"/>
        <w:spacing w:after="0" w:before="0"/>
      </w:pPr>
      <w:r>
        <w:rPr>
          <w:rFonts w:ascii="Consolas" w:cs="Consolas" w:eastAsia="Consolas" w:hAnsi="Consolas"/>
          <w:sz w:val="16"/>
          <w:szCs w:val="16"/>
        </w:rPr>
        <w:t xml:space="preserve">[OK ] Anexo 2 corregido desde la directiva oficial</w:t>
      </w:r>
    </w:p>
    <w:p>
      <w:pPr>
        <w:shd w:fill="F2F2F2" w:val="clear"/>
        <w:spacing w:after="0" w:before="0"/>
      </w:pPr>
      <w:r>
        <w:rPr>
          <w:rFonts w:ascii="Consolas" w:cs="Consolas" w:eastAsia="Consolas" w:hAnsi="Consolas"/>
          <w:sz w:val="16"/>
          <w:szCs w:val="16"/>
        </w:rPr>
        <w:t xml:space="preserve">[OK ] Puente MIMIC &lt;-&gt; Anexo 2  (precision 45%)</w:t>
      </w:r>
    </w:p>
    <w:p>
      <w:pPr>
        <w:shd w:fill="F2F2F2" w:val="clear"/>
        <w:spacing w:after="0" w:before="0"/>
      </w:pPr>
      <w:r>
        <w:rPr>
          <w:rFonts w:ascii="Consolas" w:cs="Consolas" w:eastAsia="Consolas" w:hAnsi="Consolas"/>
          <w:sz w:val="16"/>
          <w:szCs w:val="16"/>
        </w:rPr>
        <w:t xml:space="preserve">[OK ] Validacion experta de 20 notas (17/05/2026)</w:t>
      </w:r>
    </w:p>
    <w:p>
      <w:pPr>
        <w:shd w:fill="F2F2F2" w:val="clear"/>
        <w:spacing w:after="0" w:before="0"/>
      </w:pPr>
      <w:r>
        <w:rPr>
          <w:rFonts w:ascii="Consolas" w:cs="Consolas" w:eastAsia="Consolas" w:hAnsi="Consolas"/>
          <w:sz w:val="16"/>
          <w:szCs w:val="16"/>
        </w:rPr>
        <w:t xml:space="preserve">[OK ] Filtro NegEx aplicado          (precision 78%)</w:t>
      </w:r>
    </w:p>
    <w:p>
      <w:pPr>
        <w:shd w:fill="F2F2F2" w:val="clear"/>
        <w:spacing w:after="0" w:before="0"/>
      </w:pPr>
      <w:r>
        <w:rPr>
          <w:rFonts w:ascii="Consolas" w:cs="Consolas" w:eastAsia="Consolas" w:hAnsi="Consolas"/>
          <w:sz w:val="16"/>
          <w:szCs w:val="16"/>
        </w:rPr>
        <w:t xml:space="preserve">[OK ] Detector estructural de estancia prolongada (id 1007)</w:t>
      </w:r>
    </w:p>
    <w:p>
      <w:pPr>
        <w:shd w:fill="F2F2F2" w:val="clear"/>
        <w:spacing w:after="0" w:before="0"/>
      </w:pPr>
      <w:r>
        <w:rPr>
          <w:rFonts w:ascii="Consolas" w:cs="Consolas" w:eastAsia="Consolas" w:hAnsi="Consolas"/>
          <w:sz w:val="16"/>
          <w:szCs w:val="16"/>
        </w:rPr>
        <w:t xml:space="preserve">[OK ] Matriz GEMSES integrada con correccion institucional</w:t>
      </w:r>
    </w:p>
    <w:p>
      <w:pPr>
        <w:shd w:fill="F2F2F2" w:val="clear"/>
        <w:spacing w:after="0" w:before="0"/>
      </w:pPr>
      <w:r>
        <w:rPr>
          <w:rFonts w:ascii="Consolas" w:cs="Consolas" w:eastAsia="Consolas" w:hAnsi="Consolas"/>
          <w:sz w:val="16"/>
          <w:szCs w:val="16"/>
        </w:rPr>
        <w:t xml:space="preserve">[&gt;&gt; ] Validacion experta ampliada (50-100 notas)  (siguiente)</w:t>
      </w:r>
    </w:p>
    <w:p>
      <w:pPr>
        <w:shd w:fill="F2F2F2" w:val="clear"/>
        <w:spacing w:after="0" w:before="0"/>
      </w:pPr>
      <w:r>
        <w:rPr>
          <w:rFonts w:ascii="Consolas" w:cs="Consolas" w:eastAsia="Consolas" w:hAnsi="Consolas"/>
          <w:sz w:val="16"/>
          <w:szCs w:val="16"/>
        </w:rPr>
        <w:t xml:space="preserve">[   ] BioBERT/ClinicalBERT con GPU   (para FP semanticos restantes)</w:t>
      </w:r>
    </w:p>
    <w:p>
      <w:pPr>
        <w:shd w:fill="F2F2F2" w:val="clear"/>
        <w:spacing w:after="0" w:before="0"/>
      </w:pPr>
      <w:r>
        <w:rPr>
          <w:rFonts w:ascii="Consolas" w:cs="Consolas" w:eastAsia="Consolas" w:hAnsi="Consolas"/>
          <w:sz w:val="16"/>
          <w:szCs w:val="16"/>
        </w:rPr>
        <w:t xml:space="preserve">[   ] Fase 1: corpus etiquetado 5,000 notas</w:t>
      </w:r>
    </w:p>
    <w:p>
      <w:pPr>
        <w:shd w:fill="F2F2F2" w:val="clear"/>
        <w:spacing w:after="0" w:before="0"/>
      </w:pPr>
      <w:r>
        <w:rPr>
          <w:rFonts w:ascii="Consolas" w:cs="Consolas" w:eastAsia="Consolas" w:hAnsi="Consolas"/>
          <w:sz w:val="16"/>
          <w:szCs w:val="16"/>
        </w:rPr>
        <w:t xml:space="preserve">[   ] Fases siguientes: multimodal, panel experto, castellano</w:t>
      </w:r>
    </w:p>
    <w:p>
      <w:r>
        <w:br w:type="page"/>
      </w:r>
    </w:p>
    <w:p>
      <w:pPr>
        <w:pStyle w:val="Heading1"/>
      </w:pPr>
      <w:r>
        <w:rPr>
          <w:rFonts w:ascii="Arial" w:cs="Arial" w:eastAsia="Arial" w:hAnsi="Arial"/>
        </w:rPr>
        <w:t xml:space="preserve">10. Puntos pendientes y decisiones</w:t>
      </w:r>
    </w:p>
    <w:p>
      <w:pPr>
        <w:pStyle w:val="ListParagraph"/>
        <w:numPr>
          <w:ilvl w:val="0"/>
          <w:numId w:val="2"/>
        </w:numPr>
        <w:spacing w:after="60"/>
      </w:pPr>
      <w:r>
        <w:rPr>
          <w:rFonts w:ascii="Arial" w:cs="Arial" w:eastAsia="Arial" w:hAnsi="Arial"/>
          <w:sz w:val="22"/>
          <w:szCs w:val="22"/>
        </w:rPr>
        <w:t xml:space="preserve">Validación ampliada a 50-100 notas (intervalos de confianza estables).</w:t>
      </w:r>
    </w:p>
    <w:p>
      <w:pPr>
        <w:pStyle w:val="ListParagraph"/>
        <w:numPr>
          <w:ilvl w:val="0"/>
          <w:numId w:val="2"/>
        </w:numPr>
        <w:spacing w:after="60"/>
      </w:pPr>
      <w:r>
        <w:rPr>
          <w:rFonts w:ascii="Arial" w:cs="Arial" w:eastAsia="Arial" w:hAnsi="Arial"/>
          <w:sz w:val="22"/>
          <w:szCs w:val="22"/>
        </w:rPr>
        <w:t xml:space="preserve">Solicitar entorno GPU para BioBERT (FP semánticos que NegEx no captura).</w:t>
      </w:r>
    </w:p>
    <w:p>
      <w:pPr>
        <w:pStyle w:val="ListParagraph"/>
        <w:numPr>
          <w:ilvl w:val="0"/>
          <w:numId w:val="2"/>
        </w:numPr>
        <w:spacing w:after="60"/>
      </w:pPr>
      <w:r>
        <w:rPr>
          <w:rFonts w:ascii="Arial" w:cs="Arial" w:eastAsia="Arial" w:hAnsi="Arial"/>
          <w:sz w:val="22"/>
          <w:szCs w:val="22"/>
        </w:rPr>
        <w:t xml:space="preserve">Confirmar con EsSalud la propuesta de corrección de los 33 eventos del Anexo 2.</w:t>
      </w:r>
    </w:p>
    <w:p>
      <w:pPr>
        <w:pStyle w:val="ListParagraph"/>
        <w:numPr>
          <w:ilvl w:val="0"/>
          <w:numId w:val="2"/>
        </w:numPr>
        <w:spacing w:after="60"/>
      </w:pPr>
      <w:r>
        <w:rPr>
          <w:rFonts w:ascii="Arial" w:cs="Arial" w:eastAsia="Arial" w:hAnsi="Arial"/>
          <w:sz w:val="22"/>
          <w:szCs w:val="22"/>
        </w:rPr>
        <w:t xml:space="preserve">Power BI: reapuntar al CSV corregido si existe tablero conectado.</w:t>
      </w:r>
    </w:p>
    <w:p>
      <w:pPr>
        <w:pStyle w:val="ListParagraph"/>
        <w:numPr>
          <w:ilvl w:val="0"/>
          <w:numId w:val="2"/>
        </w:numPr>
        <w:spacing w:after="60"/>
      </w:pPr>
      <w:r>
        <w:rPr>
          <w:rFonts w:ascii="Arial" w:cs="Arial" w:eastAsia="Arial" w:hAnsi="Arial"/>
          <w:sz w:val="22"/>
          <w:szCs w:val="22"/>
        </w:rPr>
        <w:t xml:space="preserve">Reemplazar el PDF corrupto de la Directiva por una copia válida.</w:t>
      </w:r>
    </w:p>
    <w:p>
      <w:pPr>
        <w:pStyle w:val="ListParagraph"/>
        <w:numPr>
          <w:ilvl w:val="0"/>
          <w:numId w:val="2"/>
        </w:numPr>
        <w:spacing w:after="60"/>
      </w:pPr>
      <w:r>
        <w:rPr>
          <w:rFonts w:ascii="Arial" w:cs="Arial" w:eastAsia="Arial" w:hAnsi="Arial"/>
          <w:sz w:val="22"/>
          <w:szCs w:val="22"/>
        </w:rPr>
        <w:t xml:space="preserve">Reclasificar AMA: no tiene id_evento exacto en el Anexo 2.</w:t>
      </w:r>
    </w:p>
    <w:p>
      <w:r>
        <w:br w:type="page"/>
      </w:r>
    </w:p>
    <w:p>
      <w:pPr>
        <w:pStyle w:val="Heading1"/>
      </w:pPr>
      <w:r>
        <w:rPr>
          <w:rFonts w:ascii="Arial" w:cs="Arial" w:eastAsia="Arial" w:hAnsi="Arial"/>
        </w:rPr>
        <w:t xml:space="preserve">11. Resultados de la validación experta (17/05/2026)</w:t>
      </w:r>
    </w:p>
    <w:p>
      <w:pPr>
        <w:pStyle w:val="Heading2"/>
      </w:pPr>
      <w:r>
        <w:rPr>
          <w:rFonts w:ascii="Arial" w:cs="Arial" w:eastAsia="Arial" w:hAnsi="Arial"/>
        </w:rPr>
        <w:t xml:space="preserve">11.1 Precisión inicial</w:t>
      </w:r>
    </w:p>
    <w:p>
      <w:pPr>
        <w:shd w:fill="F2F2F2" w:val="clear"/>
        <w:spacing w:after="0" w:before="0"/>
      </w:pPr>
      <w:r>
        <w:rPr>
          <w:rFonts w:ascii="Consolas" w:cs="Consolas" w:eastAsia="Consolas" w:hAnsi="Consolas"/>
          <w:sz w:val="16"/>
          <w:szCs w:val="16"/>
        </w:rPr>
        <w:t xml:space="preserve">   VERDADEROS POSITIVOS   :  9</w:t>
      </w:r>
    </w:p>
    <w:p>
      <w:pPr>
        <w:shd w:fill="F2F2F2" w:val="clear"/>
        <w:spacing w:after="0" w:before="0"/>
      </w:pPr>
      <w:r>
        <w:rPr>
          <w:rFonts w:ascii="Consolas" w:cs="Consolas" w:eastAsia="Consolas" w:hAnsi="Consolas"/>
          <w:sz w:val="16"/>
          <w:szCs w:val="16"/>
        </w:rPr>
        <w:t xml:space="preserve">   FALSOS POSITIVOS       : 11</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   PRECISION              : 45.0 %</w:t>
      </w:r>
    </w:p>
    <w:p>
      <w:r>
        <w:rPr>
          <w:rFonts w:ascii="Arial" w:cs="Arial" w:eastAsia="Arial" w:hAnsi="Arial"/>
          <w:sz w:val="12"/>
          <w:szCs w:val="12"/>
        </w:rPr>
        <w:t xml:space="preserve"> </w:t>
      </w:r>
    </w:p>
    <w:p>
      <w:pPr>
        <w:pStyle w:val="Heading2"/>
      </w:pPr>
      <w:r>
        <w:rPr>
          <w:rFonts w:ascii="Arial" w:cs="Arial" w:eastAsia="Arial" w:hAnsi="Arial"/>
        </w:rPr>
        <w:t xml:space="preserve">11.2 Análisis de los 11 falsos positivos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700"/>
        <w:gridCol w:w="4460"/>
      </w:tblGrid>
      <w:tr>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Tipo de error</w:t>
            </w:r>
          </w:p>
        </w:tc>
        <w:tc>
          <w:tcPr>
            <w:tcW w:type="dxa" w:w="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Casos</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Ejemplo</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Negación</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n8, n10, n13</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 es de esta hospitalización</w:t>
            </w:r>
          </w:p>
        </w:tc>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w:t>
            </w:r>
          </w:p>
        </w:tc>
        <w:tc>
          <w:tcPr>
            <w:tcW w:type="dxa" w:w="44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n4 donante ABO, n12 admisión previa</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Antecedente familiar</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n11 peritonitis del padre</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Motivo de ingreso</w:t>
            </w:r>
          </w:p>
        </w:tc>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n18 hepatitis</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Profilaxis o mención de guía</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n5 endocarditis</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Hipotético / descartado</w:t>
            </w:r>
          </w:p>
        </w:tc>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n1 etiología improbable</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Coincidencia casual</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n9 steri-strips will fall off</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Mapeo conceptualmente incorrecto</w:t>
            </w:r>
          </w:p>
        </w:tc>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n16 AMA ≠ Vagabundeo</w:t>
            </w:r>
          </w:p>
        </w:tc>
      </w:tr>
    </w:tbl>
    <w:p>
      <w:r>
        <w:br w:type="page"/>
      </w:r>
    </w:p>
    <w:p>
      <w:pPr>
        <w:pStyle w:val="Heading1"/>
      </w:pPr>
      <w:r>
        <w:rPr>
          <w:rFonts w:ascii="Arial" w:cs="Arial" w:eastAsia="Arial" w:hAnsi="Arial"/>
        </w:rPr>
        <w:t xml:space="preserve">12. Etapa 5 — Filtro de contexto con NegEx</w:t>
      </w:r>
    </w:p>
    <w:p>
      <w:pPr>
        <w:spacing w:after="120"/>
      </w:pPr>
      <w:r>
        <w:rPr>
          <w:rFonts w:ascii="Arial" w:cs="Arial" w:eastAsia="Arial" w:hAnsi="Arial"/>
          <w:sz w:val="22"/>
          <w:szCs w:val="22"/>
        </w:rPr>
        <w:t xml:space="preserve">Implementación NegEx (Chapman et al., 2001) en Python puro, sin dependencias externas. Tres iteraciones: la v0.2 con detección por secciones del documento resultó demasiado agresiva (filtró eventos reales del HPI); la v0.3 final conserva NegEx clásico con tres mejoras quirúrgicas: heurística de donante, lab report multi-oración y "unlikely" sentence-wide.</w:t>
      </w:r>
    </w:p>
    <w:p>
      <w:pPr>
        <w:pStyle w:val="Heading2"/>
      </w:pPr>
      <w:r>
        <w:rPr>
          <w:rFonts w:ascii="Arial" w:cs="Arial" w:eastAsia="Arial" w:hAnsi="Arial"/>
        </w:rPr>
        <w:t xml:space="preserve">12.1 Distribución del contexto en 2,500 detecciones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Categoría</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Cantidad</w:t>
            </w:r>
          </w:p>
        </w:tc>
        <w:tc>
          <w:tcPr>
            <w:tcW w:type="dxa" w:w="4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 del total</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AFIRMADO</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1,172</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46.9 %</w:t>
            </w:r>
          </w:p>
        </w:tc>
      </w:tr>
      <w:tr>
        <w:tc>
          <w:tcPr>
            <w:tcW w:type="dxa" w:w="35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NEGADO</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570</w:t>
            </w:r>
          </w:p>
        </w:tc>
        <w:tc>
          <w:tcPr>
            <w:tcW w:type="dxa" w:w="40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22.8 %</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HISTORICO</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319</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12.8 %</w:t>
            </w:r>
          </w:p>
        </w:tc>
      </w:tr>
      <w:tr>
        <w:tc>
          <w:tcPr>
            <w:tcW w:type="dxa" w:w="35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HIPOTETICO</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217</w:t>
            </w:r>
          </w:p>
        </w:tc>
        <w:tc>
          <w:tcPr>
            <w:tcW w:type="dxa" w:w="40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8.7 %</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PROFILAXIS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114</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4.6 %</w:t>
            </w:r>
          </w:p>
        </w:tc>
      </w:tr>
      <w:tr>
        <w:tc>
          <w:tcPr>
            <w:tcW w:type="dxa" w:w="35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MOTIVO_INGRESO</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87</w:t>
            </w:r>
          </w:p>
        </w:tc>
        <w:tc>
          <w:tcPr>
            <w:tcW w:type="dxa" w:w="40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3.5 %</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FAMILIAR</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20</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0.8 %</w:t>
            </w:r>
          </w:p>
        </w:tc>
      </w:tr>
      <w:tr>
        <w:tc>
          <w:tcPr>
            <w:tcW w:type="dxa" w:w="35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SEMANTICO_DONANTE</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0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0.0 %</w:t>
            </w:r>
          </w:p>
        </w:tc>
      </w:tr>
    </w:tbl>
    <w:p>
      <w:r>
        <w:rPr>
          <w:rFonts w:ascii="Arial" w:cs="Arial" w:eastAsia="Arial" w:hAnsi="Arial"/>
          <w:sz w:val="12"/>
          <w:szCs w:val="12"/>
        </w:rPr>
        <w:t xml:space="preserve"> </w:t>
      </w:r>
    </w:p>
    <w:p>
      <w:pPr>
        <w:pStyle w:val="Heading2"/>
      </w:pPr>
      <w:r>
        <w:rPr>
          <w:rFonts w:ascii="Arial" w:cs="Arial" w:eastAsia="Arial" w:hAnsi="Arial"/>
        </w:rPr>
        <w:t xml:space="preserve">12.2 Mejora medida contra los 20 casos validados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c>
          <w:tcPr>
            <w:tcW w:type="dxa" w:w="3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Métrica</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Sin filtro</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NegEx v0.3</w:t>
            </w:r>
          </w:p>
        </w:tc>
        <w:tc>
          <w:tcPr>
            <w:tcW w:type="dxa" w:w="22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Mejora</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Precisión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45.0 %</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77.8 %</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+32.8 pp</w:t>
            </w:r>
          </w:p>
        </w:tc>
      </w:tr>
      <w:tr>
        <w:tc>
          <w:tcPr>
            <w:tcW w:type="dxa" w:w="35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Recall (VP conservados)</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100 %</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77.8 %</w:t>
            </w:r>
          </w:p>
        </w:tc>
        <w:tc>
          <w:tcPr>
            <w:tcW w:type="dxa" w:w="22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−22.2 pp</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Falsos positivos restantes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−9</w:t>
            </w:r>
          </w:p>
        </w:tc>
      </w:tr>
    </w:tbl>
    <w:p>
      <w:r>
        <w:br w:type="page"/>
      </w:r>
    </w:p>
    <w:p>
      <w:pPr>
        <w:pStyle w:val="Heading1"/>
      </w:pPr>
      <w:r>
        <w:rPr>
          <w:rFonts w:ascii="Arial" w:cs="Arial" w:eastAsia="Arial" w:hAnsi="Arial"/>
        </w:rPr>
        <w:t xml:space="preserve">13. Etapa 6 — Detector de Estancia Prolongada (id_evento 1007)</w:t>
      </w:r>
    </w:p>
    <w:p>
      <w:pPr>
        <w:spacing w:after="120"/>
      </w:pPr>
      <w:r>
        <w:rPr>
          <w:rFonts w:ascii="Arial" w:cs="Arial" w:eastAsia="Arial" w:hAnsi="Arial"/>
          <w:sz w:val="22"/>
          <w:szCs w:val="22"/>
        </w:rPr>
        <w:t xml:space="preserve">A diferencia de los eventos clínicos, "Estancia prolongada" se detecta directamente de datos estructurados sin necesidad de NLP. La estrategia adoptada compara el LOS (Length of Stay) de cada hospitalización contra el percentil 75 de la distribución de LOS dentro de su mismo grupo DRG. Esto es la práctica estándar en gestión hospitalaria.</w:t>
      </w:r>
    </w:p>
    <w:p>
      <w:pPr>
        <w:pStyle w:val="Heading2"/>
      </w:pPr>
      <w:r>
        <w:rPr>
          <w:rFonts w:ascii="Arial" w:cs="Arial" w:eastAsia="Arial" w:hAnsi="Arial"/>
        </w:rPr>
        <w:t xml:space="preserve">13.1 Metodología</w:t>
      </w:r>
    </w:p>
    <w:p>
      <w:pPr>
        <w:pStyle w:val="ListParagraph"/>
        <w:numPr>
          <w:ilvl w:val="0"/>
          <w:numId w:val="2"/>
        </w:numPr>
        <w:spacing w:after="60"/>
      </w:pPr>
      <w:r>
        <w:rPr>
          <w:rFonts w:ascii="Arial" w:cs="Arial" w:eastAsia="Arial" w:hAnsi="Arial"/>
          <w:sz w:val="22"/>
          <w:szCs w:val="22"/>
        </w:rPr>
        <w:t xml:space="preserve">Cohorte: 546,028 hospitalizaciones totales de MIMIC; se excluyen 11,801 con muerte intrahospitalaria.</w:t>
      </w:r>
    </w:p>
    <w:p>
      <w:pPr>
        <w:pStyle w:val="ListParagraph"/>
        <w:numPr>
          <w:ilvl w:val="0"/>
          <w:numId w:val="2"/>
        </w:numPr>
        <w:spacing w:after="60"/>
      </w:pPr>
      <w:r>
        <w:rPr>
          <w:rFonts w:ascii="Arial" w:cs="Arial" w:eastAsia="Arial" w:hAnsi="Arial"/>
          <w:sz w:val="22"/>
          <w:szCs w:val="22"/>
        </w:rPr>
        <w:t xml:space="preserve">Sistema de codificación DRG: APR-DRG cuando está disponible, fallback HCFA. Cobertura final 383,294 hadm con DRG asignable.</w:t>
      </w:r>
    </w:p>
    <w:p>
      <w:pPr>
        <w:pStyle w:val="ListParagraph"/>
        <w:numPr>
          <w:ilvl w:val="0"/>
          <w:numId w:val="2"/>
        </w:numPr>
        <w:spacing w:after="60"/>
      </w:pPr>
      <w:r>
        <w:rPr>
          <w:rFonts w:ascii="Arial" w:cs="Arial" w:eastAsia="Arial" w:hAnsi="Arial"/>
          <w:sz w:val="22"/>
          <w:szCs w:val="22"/>
        </w:rPr>
        <w:t xml:space="preserve">Umbral: P75 del DRG, exigiendo al menos 30 admisiones por grupo para garantizar estabilidad estadística.</w:t>
      </w:r>
    </w:p>
    <w:p>
      <w:pPr>
        <w:pStyle w:val="ListParagraph"/>
        <w:numPr>
          <w:ilvl w:val="0"/>
          <w:numId w:val="2"/>
        </w:numPr>
        <w:spacing w:after="60"/>
      </w:pPr>
      <w:r>
        <w:rPr>
          <w:rFonts w:ascii="Arial" w:cs="Arial" w:eastAsia="Arial" w:hAnsi="Arial"/>
          <w:sz w:val="22"/>
          <w:szCs w:val="22"/>
        </w:rPr>
        <w:t xml:space="preserve">Definición operacional: estancia prolongada = LOS &gt; P75 de su DRG.</w:t>
      </w:r>
    </w:p>
    <w:p>
      <w:r>
        <w:rPr>
          <w:rFonts w:ascii="Arial" w:cs="Arial" w:eastAsia="Arial" w:hAnsi="Arial"/>
          <w:sz w:val="12"/>
          <w:szCs w:val="12"/>
        </w:rPr>
        <w:t xml:space="preserve"> </w:t>
      </w:r>
    </w:p>
    <w:p>
      <w:pPr>
        <w:pStyle w:val="Heading2"/>
      </w:pPr>
      <w:r>
        <w:rPr>
          <w:rFonts w:ascii="Arial" w:cs="Arial" w:eastAsia="Arial" w:hAnsi="Arial"/>
        </w:rPr>
        <w:t xml:space="preserve">13.2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Métrica</w:t>
            </w:r>
          </w:p>
        </w:tc>
        <w:tc>
          <w:tcPr>
            <w:tcW w:type="dxa" w:w="4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Valor</w:t>
            </w:r>
          </w:p>
        </w:tc>
      </w:tr>
      <w:tr>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Cohorte evaluable</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382,299 hospitalizaciones (99.7 %)</w:t>
            </w:r>
          </w:p>
        </w:tc>
      </w:tr>
      <w:tr>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DRGs distintos evaluables</w:t>
            </w:r>
          </w:p>
        </w:tc>
        <w:tc>
          <w:tcPr>
            <w:tcW w:type="dxa" w:w="49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325 (de 458, exigiendo n&gt;=30)</w:t>
            </w:r>
          </w:p>
        </w:tc>
      </w:tr>
      <w:tr>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Estancias prolongadas detectadas</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95,651 (25 % del cohorte)</w:t>
            </w:r>
          </w:p>
        </w:tc>
      </w:tr>
      <w:tr>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Exceso medio cuando ocurre</w:t>
            </w:r>
          </w:p>
        </w:tc>
        <w:tc>
          <w:tcPr>
            <w:tcW w:type="dxa" w:w="49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5.7 días</w:t>
            </w:r>
          </w:p>
        </w:tc>
      </w:tr>
      <w:tr>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Confianza del detector</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ALTA (datos estructurados objetivos)</w:t>
            </w:r>
          </w:p>
        </w:tc>
      </w:tr>
      <w:tr>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Dentro de la muestra de 2,000 hadm_id del NLP</w:t>
            </w:r>
          </w:p>
        </w:tc>
        <w:tc>
          <w:tcPr>
            <w:tcW w:type="dxa" w:w="49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327 positivas</w:t>
            </w:r>
          </w:p>
        </w:tc>
      </w:tr>
    </w:tbl>
    <w:p>
      <w:r>
        <w:rPr>
          <w:rFonts w:ascii="Arial" w:cs="Arial" w:eastAsia="Arial" w:hAnsi="Arial"/>
          <w:sz w:val="12"/>
          <w:szCs w:val="12"/>
        </w:rPr>
        <w:t xml:space="preserve"> </w:t>
      </w:r>
    </w:p>
    <w:p>
      <w:pPr>
        <w:pStyle w:val="Heading2"/>
      </w:pPr>
      <w:r>
        <w:rPr>
          <w:rFonts w:ascii="Arial" w:cs="Arial" w:eastAsia="Arial" w:hAnsi="Arial"/>
        </w:rPr>
        <w:t xml:space="preserve">13.3 Top DRGs con más estancias prolongadas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660"/>
      </w:tblGrid>
      <w:tr>
        <w:tc>
          <w:tcPr>
            <w:tcW w:type="dxa" w:w="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DRG</w:t>
            </w:r>
          </w:p>
        </w:tc>
        <w:tc>
          <w:tcPr>
            <w:tcW w:type="dxa" w:w="5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Descripción</w:t>
            </w:r>
          </w:p>
        </w:tc>
        <w:tc>
          <w:tcPr>
            <w:tcW w:type="dxa" w:w="36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Casos prolongados</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560</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Vaginal Delivery</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3,148</w:t>
            </w:r>
          </w:p>
        </w:tc>
      </w:tr>
      <w:tr>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194</w:t>
            </w:r>
          </w:p>
        </w:tc>
        <w:tc>
          <w:tcPr>
            <w:tcW w:type="dxa" w:w="50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Heart Failure</w:t>
            </w:r>
          </w:p>
        </w:tc>
        <w:tc>
          <w:tcPr>
            <w:tcW w:type="dxa" w:w="36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2,730</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720</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Septicemia and Disseminated Infections</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2,386</w:t>
            </w:r>
          </w:p>
        </w:tc>
      </w:tr>
      <w:tr>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540</w:t>
            </w:r>
          </w:p>
        </w:tc>
        <w:tc>
          <w:tcPr>
            <w:tcW w:type="dxa" w:w="50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Cesarean Section</w:t>
            </w:r>
          </w:p>
        </w:tc>
        <w:tc>
          <w:tcPr>
            <w:tcW w:type="dxa" w:w="36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1,716</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139</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Other Pneumonia</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1,509</w:t>
            </w:r>
          </w:p>
        </w:tc>
      </w:tr>
      <w:tr>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463</w:t>
            </w:r>
          </w:p>
        </w:tc>
        <w:tc>
          <w:tcPr>
            <w:tcW w:type="dxa" w:w="50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Kidney/Urinary Tract Infections</w:t>
            </w:r>
          </w:p>
        </w:tc>
        <w:tc>
          <w:tcPr>
            <w:tcW w:type="dxa" w:w="36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1,321</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383</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Cellulitis and Other Skin Infections</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1,245</w:t>
            </w:r>
          </w:p>
        </w:tc>
      </w:tr>
    </w:tbl>
    <w:p>
      <w:r>
        <w:rPr>
          <w:rFonts w:ascii="Arial" w:cs="Arial" w:eastAsia="Arial" w:hAnsi="Arial"/>
          <w:sz w:val="12"/>
          <w:szCs w:val="12"/>
        </w:rPr>
        <w:t xml:space="preserve"> </w:t>
      </w:r>
    </w:p>
    <w:p>
      <w:pPr>
        <w:spacing w:after="120"/>
      </w:pPr>
      <w:r>
        <w:rPr>
          <w:rFonts w:ascii="Arial" w:cs="Arial" w:eastAsia="Arial" w:hAnsi="Arial"/>
          <w:sz w:val="22"/>
          <w:szCs w:val="22"/>
        </w:rPr>
        <w:t xml:space="preserve">Observación: los DRG de Septicemia, ITU y Celulitis figuran entre los principales con estancias prolongadas. Esto sugiere que las infecciones asociadas a la atención (categoría detectada por el NLP) son una causa importante de la prolongación. Cruzar ambos detectores permite cuantificar esa relación, lo que constituye una operacionalización directa del Modelo GEMSES.</w:t>
      </w:r>
    </w:p>
    <w:p>
      <w:r>
        <w:br w:type="page"/>
      </w:r>
    </w:p>
    <w:p>
      <w:pPr>
        <w:pStyle w:val="Heading1"/>
      </w:pPr>
      <w:r>
        <w:rPr>
          <w:rFonts w:ascii="Arial" w:cs="Arial" w:eastAsia="Arial" w:hAnsi="Arial"/>
        </w:rPr>
        <w:t xml:space="preserve">14. Etapa 7 — Matriz GEMSES integrada y corrección institucional</w:t>
      </w:r>
    </w:p>
    <w:p>
      <w:pPr>
        <w:pStyle w:val="Heading2"/>
      </w:pPr>
      <w:r>
        <w:rPr>
          <w:rFonts w:ascii="Arial" w:cs="Arial" w:eastAsia="Arial" w:hAnsi="Arial"/>
        </w:rPr>
        <w:t xml:space="preserve">14.1 Integración de las dos fuentes de detección</w:t>
      </w:r>
    </w:p>
    <w:p>
      <w:pPr>
        <w:spacing w:after="120"/>
      </w:pPr>
      <w:r>
        <w:rPr>
          <w:rFonts w:ascii="Arial" w:cs="Arial" w:eastAsia="Arial" w:hAnsi="Arial"/>
          <w:sz w:val="22"/>
          <w:szCs w:val="22"/>
        </w:rPr>
        <w:t xml:space="preserve">La Matriz GEMSES final integra dos fuentes complementarias sobre la misma base de 2,000 hospitalizaciones: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Fuente</w:t>
            </w:r>
          </w:p>
        </w:tc>
        <w:tc>
          <w:tcPr>
            <w:tcW w:type="dxa" w:w="58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Detecciones AFIRMADAS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NLP filtrado por NegEx (Etapa 5)</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1,172</w:t>
            </w:r>
          </w:p>
        </w:tc>
      </w:tr>
      <w:tr>
        <w:tc>
          <w:tcPr>
            <w:tcW w:type="dxa" w:w="35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LOS / DRG-P75 (Etapa 6)</w:t>
            </w:r>
          </w:p>
        </w:tc>
        <w:tc>
          <w:tcPr>
            <w:tcW w:type="dxa" w:w="58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327</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TOTAL integrado</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1,499</w:t>
            </w:r>
          </w:p>
        </w:tc>
      </w:tr>
    </w:tbl>
    <w:p>
      <w:r>
        <w:rPr>
          <w:rFonts w:ascii="Arial" w:cs="Arial" w:eastAsia="Arial" w:hAnsi="Arial"/>
          <w:sz w:val="12"/>
          <w:szCs w:val="12"/>
        </w:rPr>
        <w:t xml:space="preserve"> </w:t>
      </w:r>
    </w:p>
    <w:p>
      <w:pPr>
        <w:pStyle w:val="Heading2"/>
      </w:pPr>
      <w:r>
        <w:rPr>
          <w:rFonts w:ascii="Arial" w:cs="Arial" w:eastAsia="Arial" w:hAnsi="Arial"/>
        </w:rPr>
        <w:t xml:space="preserve">14.2 Corrección institucional aplicada</w:t>
      </w:r>
    </w:p>
    <w:p>
      <w:pPr>
        <w:spacing w:after="120"/>
      </w:pPr>
      <w:r>
        <w:rPr>
          <w:rFonts w:ascii="Arial" w:cs="Arial" w:eastAsia="Arial" w:hAnsi="Arial"/>
          <w:sz w:val="22"/>
          <w:szCs w:val="22"/>
        </w:rPr>
        <w:t xml:space="preserve">Para los 33 eventos del Anexo 2 cuyo Impacto reportado no satisface la fórmula GEMSES oficial (0.40·c + 0.20·d + 0.15·e + 0.20·f), la tesis aplica el valor recalculado según la fórmula como insumo de cálculo. Se mantiene la columna G_impacto_directiva para trazabilidad y auditoría, y se introduce G_impacto_corregido como el valor de cálculo. La diferencia se propone formalmente como oportunidad de mejora institucional a EsSalud.</w:t>
      </w:r>
    </w:p>
    <w:p>
      <w:r>
        <w:rPr>
          <w:rFonts w:ascii="Arial" w:cs="Arial" w:eastAsia="Arial" w:hAnsi="Arial"/>
          <w:sz w:val="12"/>
          <w:szCs w:val="12"/>
        </w:rPr>
        <w:t xml:space="preserve"> </w:t>
      </w:r>
    </w:p>
    <w:p>
      <w:pPr>
        <w:pStyle w:val="Heading2"/>
      </w:pPr>
      <w:r>
        <w:rPr>
          <w:rFonts w:ascii="Arial" w:cs="Arial" w:eastAsia="Arial" w:hAnsi="Arial"/>
        </w:rPr>
        <w:t xml:space="preserve">14.3 Top 5 eventos por Riesgo (H) en la Matriz Integrada Corregida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200"/>
        <w:gridCol w:w="1200"/>
        <w:gridCol w:w="960"/>
        <w:gridCol w:w="1000"/>
      </w:tblGrid>
      <w:tr>
        <w:tc>
          <w:tcPr>
            <w:tcW w:type="dxa" w:w="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ID</w:t>
            </w:r>
          </w:p>
        </w:tc>
        <w:tc>
          <w:tcPr>
            <w:tcW w:type="dxa" w:w="3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Evento</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Naturaleza</w:t>
            </w:r>
          </w:p>
        </w:tc>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Fuente</w:t>
            </w:r>
          </w:p>
        </w:tc>
        <w:tc>
          <w:tcPr>
            <w:tcW w:type="dxa" w:w="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Frec</w:t>
            </w:r>
          </w:p>
        </w:tc>
        <w:tc>
          <w:tcPr>
            <w:tcW w:type="dxa" w:w="1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G corr</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1007</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Estancia prolongada</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GESTIÓN DE LA ORGANIZACIÓN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LOS_DRG</w:t>
            </w:r>
          </w:p>
        </w:tc>
        <w:tc>
          <w:tcPr>
            <w:tcW w:type="dxa" w:w="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327</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7.95</w:t>
            </w:r>
          </w:p>
        </w:tc>
      </w:tr>
      <w:tr>
        <w:tc>
          <w:tcPr>
            <w:tcW w:type="dxa" w:w="6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602</w:t>
            </w:r>
          </w:p>
        </w:tc>
        <w:tc>
          <w:tcPr>
            <w:tcW w:type="dxa" w:w="3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Infección del tracto urinario</w:t>
            </w:r>
          </w:p>
        </w:tc>
        <w:tc>
          <w:tcPr>
            <w:tcW w:type="dxa" w:w="2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INFECCIÓN A. ATENCIÓN</w:t>
            </w:r>
          </w:p>
        </w:tc>
        <w:tc>
          <w:tcPr>
            <w:tcW w:type="dxa" w:w="1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w:t>
            </w:r>
          </w:p>
        </w:tc>
        <w:tc>
          <w:tcPr>
            <w:tcW w:type="dxa" w:w="9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195</w:t>
            </w:r>
          </w:p>
        </w:tc>
        <w:tc>
          <w:tcPr>
            <w:tcW w:type="dxa" w:w="10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4.50</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8032</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Trombosis venosa</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PROCEDIMIENTO</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w:t>
            </w:r>
          </w:p>
        </w:tc>
        <w:tc>
          <w:tcPr>
            <w:tcW w:type="dxa" w:w="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113</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3.30</w:t>
            </w:r>
          </w:p>
        </w:tc>
      </w:tr>
      <w:tr>
        <w:tc>
          <w:tcPr>
            <w:tcW w:type="dxa" w:w="6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6022</w:t>
            </w:r>
          </w:p>
        </w:tc>
        <w:tc>
          <w:tcPr>
            <w:tcW w:type="dxa" w:w="3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Infección de la piel</w:t>
            </w:r>
          </w:p>
        </w:tc>
        <w:tc>
          <w:tcPr>
            <w:tcW w:type="dxa" w:w="2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INFECCIÓN A. ATENCIÓN</w:t>
            </w:r>
          </w:p>
        </w:tc>
        <w:tc>
          <w:tcPr>
            <w:tcW w:type="dxa" w:w="1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w:t>
            </w:r>
          </w:p>
        </w:tc>
        <w:tc>
          <w:tcPr>
            <w:tcW w:type="dxa" w:w="9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102</w:t>
            </w:r>
          </w:p>
        </w:tc>
        <w:tc>
          <w:tcPr>
            <w:tcW w:type="dxa" w:w="10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3.30</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7031</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 difficile asociada a antibióticos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MEDICACIÓN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w:t>
            </w:r>
          </w:p>
        </w:tc>
        <w:tc>
          <w:tcPr>
            <w:tcW w:type="dxa" w:w="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88</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5.70</w:t>
            </w:r>
          </w:p>
        </w:tc>
      </w:tr>
    </w:tbl>
    <w:p>
      <w:r>
        <w:rPr>
          <w:rFonts w:ascii="Arial" w:cs="Arial" w:eastAsia="Arial" w:hAnsi="Arial"/>
          <w:sz w:val="12"/>
          <w:szCs w:val="12"/>
        </w:rPr>
        <w:t xml:space="preserve"> </w:t>
      </w:r>
    </w:p>
    <w:p>
      <w:pPr>
        <w:pStyle w:val="Heading2"/>
      </w:pPr>
      <w:r>
        <w:rPr>
          <w:rFonts w:ascii="Arial" w:cs="Arial" w:eastAsia="Arial" w:hAnsi="Arial"/>
        </w:rPr>
        <w:t xml:space="preserve">14.4 Hallazgo sobre el impacto de la corrección</w:t>
      </w:r>
    </w:p>
    <w:p>
      <w:pPr>
        <w:spacing w:after="120"/>
      </w:pPr>
      <w:r>
        <w:rPr>
          <w:rFonts w:ascii="Arial" w:cs="Arial" w:eastAsia="Arial" w:hAnsi="Arial"/>
          <w:sz w:val="22"/>
          <w:szCs w:val="22"/>
        </w:rPr>
        <w:t xml:space="preserve">Al comparar el escenario "directiva tal cual" con "directiva corregida por fórmula GEMSES", ninguno de los 33 eventos del Anexo 2 cambia de nivel de gestión (Verde/Amarillo/Rojo). Las diferencias entre los dos valores de impacto son pequeñas (+0.45 a +1.80) y no mueven los percentiles P50/P75 en esta muestra. Es decir: la corrección es una mejora de transparencia y consistencia metodológica, pero no altera las decisiones operacionales en el corpus analizado. En cobertura mayor (toda MIMIC, ~431,000 admisiones) la situación podría diferir. La propuesta a EsSalud sigue siendo válida como mejora normativa.</w:t>
      </w:r>
    </w:p>
    <w:p>
      <w:r>
        <w:rPr>
          <w:rFonts w:ascii="Arial" w:cs="Arial" w:eastAsia="Arial" w:hAnsi="Arial"/>
          <w:sz w:val="12"/>
          <w:szCs w:val="12"/>
        </w:rPr>
        <w:t xml:space="preserve"> </w:t>
      </w:r>
    </w:p>
    <w:p>
      <w:pPr>
        <w:pStyle w:val="Heading2"/>
      </w:pPr>
      <w:r>
        <w:rPr>
          <w:rFonts w:ascii="Arial" w:cs="Arial" w:eastAsia="Arial" w:hAnsi="Arial"/>
        </w:rPr>
        <w:t xml:space="preserve">14.5 Implicaciones para el Capítulo III</w:t>
      </w:r>
    </w:p>
    <w:p>
      <w:pPr>
        <w:pStyle w:val="ListParagraph"/>
        <w:numPr>
          <w:ilvl w:val="0"/>
          <w:numId w:val="2"/>
        </w:numPr>
        <w:spacing w:after="60"/>
      </w:pPr>
      <w:r>
        <w:rPr>
          <w:rFonts w:ascii="Arial" w:cs="Arial" w:eastAsia="Arial" w:hAnsi="Arial"/>
          <w:sz w:val="22"/>
          <w:szCs w:val="22"/>
        </w:rPr>
        <w:t xml:space="preserve">La Matriz GEMSES integra por primera vez fuentes clínicas (NLP) y administrativas (LOS-DRG) sobre la misma base, cumpliendo el alcance multimodal del modelo.</w:t>
      </w:r>
    </w:p>
    <w:p>
      <w:pPr>
        <w:pStyle w:val="ListParagraph"/>
        <w:numPr>
          <w:ilvl w:val="0"/>
          <w:numId w:val="2"/>
        </w:numPr>
        <w:spacing w:after="60"/>
      </w:pPr>
      <w:r>
        <w:rPr>
          <w:rFonts w:ascii="Arial" w:cs="Arial" w:eastAsia="Arial" w:hAnsi="Arial"/>
          <w:sz w:val="22"/>
          <w:szCs w:val="22"/>
        </w:rPr>
        <w:t xml:space="preserve">El detector estructural eleva la cobertura de la naturaleza Gestión de la Organización, que en la fase NLP estaba prácticamente vacía.</w:t>
      </w:r>
    </w:p>
    <w:p>
      <w:pPr>
        <w:pStyle w:val="ListParagraph"/>
        <w:numPr>
          <w:ilvl w:val="0"/>
          <w:numId w:val="2"/>
        </w:numPr>
        <w:spacing w:after="60"/>
      </w:pPr>
      <w:r>
        <w:rPr>
          <w:rFonts w:ascii="Arial" w:cs="Arial" w:eastAsia="Arial" w:hAnsi="Arial"/>
          <w:sz w:val="22"/>
          <w:szCs w:val="22"/>
        </w:rPr>
        <w:t xml:space="preserve">La cruza Septicemia/ITU/Celulitis vs estancia prolongada permite cuantificar el costo en días de las infecciones asociadas a la atención: operacionalización directa del modelo GEMSES.</w:t>
      </w:r>
    </w:p>
    <w:p>
      <w:pPr>
        <w:pStyle w:val="ListParagraph"/>
        <w:numPr>
          <w:ilvl w:val="0"/>
          <w:numId w:val="2"/>
        </w:numPr>
        <w:spacing w:after="60"/>
      </w:pPr>
      <w:r>
        <w:rPr>
          <w:rFonts w:ascii="Arial" w:cs="Arial" w:eastAsia="Arial" w:hAnsi="Arial"/>
          <w:sz w:val="22"/>
          <w:szCs w:val="22"/>
        </w:rPr>
        <w:t xml:space="preserve">La detección de las 33 inconsistencias en el Anexo 2 constituye un aporte institucional concreto: no solo se aplica el modelo, se audita.</w:t>
      </w:r>
    </w:p>
    <w:p>
      <w:r>
        <w:rPr>
          <w:rFonts w:ascii="Arial" w:cs="Arial" w:eastAsia="Arial" w:hAnsi="Arial"/>
          <w:sz w:val="12"/>
          <w:szCs w:val="12"/>
        </w:rPr>
        <w:t xml:space="preserve"> </w:t>
      </w:r>
    </w:p>
    <w:p>
      <w:pPr>
        <w:spacing w:after="120"/>
        <w:rPr>
          <w:i/>
          <w:iCs/>
          <w:color w:val="595959"/>
        </w:rPr>
      </w:pPr>
      <w:r>
        <w:rPr>
          <w:rFonts w:ascii="Arial" w:cs="Arial" w:eastAsia="Arial" w:hAnsi="Arial"/>
          <w:i/>
          <w:iCs/>
          <w:color w:val="595959"/>
          <w:sz w:val="22"/>
          <w:szCs w:val="22"/>
        </w:rPr>
        <w:t xml:space="preserve">Fin del informe.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pPr>
    <w:r>
      <w:rPr>
        <w:rFonts w:ascii="Arial" w:cs="Arial" w:eastAsia="Arial" w:hAnsi="Arial"/>
        <w:color w:val="595959"/>
        <w:sz w:val="16"/>
        <w:szCs w:val="16"/>
      </w:rPr>
      <w:t xml:space="preserve">Informe de Avance v4 — Tesis GEMSES-MIMIC — Carlos Pérez Pérez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2026-05-18T01:34:08.073Z</dcterms:created>
  <dcterms:modified xsi:type="dcterms:W3CDTF">2026-05-18T01:34:08.074Z</dcterms:modified>
</cp:coreProperties>
</file>

<file path=docProps/custom.xml><?xml version="1.0" encoding="utf-8"?>
<Properties xmlns="http://schemas.openxmlformats.org/officeDocument/2006/custom-properties" xmlns:vt="http://schemas.openxmlformats.org/officeDocument/2006/docPropsVTypes"/>
</file>