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1F3864"/>
          <w:sz w:val="56"/>
          <w:szCs w:val="56"/>
        </w:rPr>
        <w:t xml:space="preserve">INFORME DE AVANCE</w:t>
      </w:r>
    </w:p>
    <w:p>
      <w:pPr>
        <w:spacing w:before="120"/>
        <w:jc w:val="center"/>
      </w:pPr>
      <w:r>
        <w:rPr>
          <w:rFonts w:ascii="Arial" w:cs="Arial" w:eastAsia="Arial" w:hAnsi="Arial"/>
          <w:sz w:val="30"/>
          <w:szCs w:val="30"/>
        </w:rPr>
        <w:t xml:space="preserve">Pipeline de detección y priorización de eventos adversos</w:t>
      </w:r>
    </w:p>
    <w:p>
      <w:pPr>
        <w:spacing w:before="60"/>
        <w:jc w:val="center"/>
      </w:pPr>
      <w:r>
        <w:rPr>
          <w:rFonts w:ascii="Arial" w:cs="Arial" w:eastAsia="Arial" w:hAnsi="Arial"/>
          <w:sz w:val="30"/>
          <w:szCs w:val="30"/>
        </w:rPr>
        <w:t xml:space="preserve">Modelo GEMSES sobre el dataset MIMIC-IV</w:t>
      </w:r>
    </w:p>
    <w:p>
      <w:pPr>
        <w:spacing w:before="600"/>
        <w:jc w:val="center"/>
      </w:pPr>
      <w:r>
        <w:rPr>
          <w:rFonts w:ascii="Arial" w:cs="Arial" w:eastAsia="Arial" w:hAnsi="Arial"/>
          <w:i/>
          <w:iCs/>
          <w:color w:val="2E5496"/>
          <w:sz w:val="22"/>
          <w:szCs w:val="22"/>
        </w:rPr>
        <w:t xml:space="preserve">Principio rector: NLP detecta, GEMSES prioriza (directiva)</w:t>
      </w:r>
    </w:p>
    <w:p>
      <w:pPr>
        <w:spacing w:before="800"/>
        <w:jc w:val="center"/>
      </w:pPr>
      <w:r>
        <w:rPr>
          <w:rFonts w:ascii="Arial" w:cs="Arial" w:eastAsia="Arial" w:hAnsi="Arial"/>
          <w:sz w:val="24"/>
          <w:szCs w:val="24"/>
        </w:rPr>
        <w:t xml:space="preserve">Tesis de Maestría en Inteligencia Artificial — UNI</w:t>
      </w:r>
    </w:p>
    <w:p>
      <w:pPr>
        <w:spacing w:before="60"/>
        <w:jc w:val="center"/>
      </w:pPr>
      <w:r>
        <w:rPr>
          <w:rFonts w:ascii="Arial" w:cs="Arial" w:eastAsia="Arial" w:hAnsi="Arial"/>
          <w:sz w:val="24"/>
          <w:szCs w:val="24"/>
        </w:rPr>
        <w:t xml:space="preserve">Curso MIA 303 — Proyectos de Investigación I</w:t>
      </w:r>
    </w:p>
    <w:p>
      <w:pPr>
        <w:spacing w:before="600"/>
        <w:jc w:val="center"/>
      </w:pPr>
      <w:r>
        <w:rPr>
          <w:rFonts w:ascii="Arial" w:cs="Arial" w:eastAsia="Arial" w:hAnsi="Arial"/>
          <w:b/>
          <w:bCs/>
          <w:sz w:val="24"/>
          <w:szCs w:val="24"/>
        </w:rPr>
        <w:t xml:space="preserve">Autor: Carlos Pérez Pérez</w:t>
      </w:r>
    </w:p>
    <w:p>
      <w:pPr>
        <w:spacing w:before="60"/>
        <w:jc w:val="center"/>
      </w:pPr>
      <w:r>
        <w:rPr>
          <w:rFonts w:ascii="Arial" w:cs="Arial" w:eastAsia="Arial" w:hAnsi="Arial"/>
          <w:sz w:val="24"/>
          <w:szCs w:val="24"/>
        </w:rPr>
        <w:t xml:space="preserve">Sesiones: 14 al 17 de mayo de 2026</w:t>
      </w:r>
    </w:p>
    <w:p>
      <w:pPr>
        <w:spacing w:before="60"/>
        <w:jc w:val="center"/>
      </w:pPr>
      <w:r>
        <w:rPr>
          <w:rFonts w:ascii="Arial" w:cs="Arial" w:eastAsia="Arial" w:hAnsi="Arial"/>
          <w:i/>
          <w:iCs/>
          <w:color w:val="595959"/>
          <w:sz w:val="20"/>
          <w:szCs w:val="20"/>
        </w:rPr>
        <w:t xml:space="preserve">Versión 5 — Matriz integrada con Impacto oficial de la directiva</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Principio rector del trabajo</w:t>
      </w:r>
    </w:p>
    <w:p>
      <w:pPr>
        <w:spacing w:after="120"/>
      </w:pPr>
      <w:r>
        <w:rPr>
          <w:rFonts w:ascii="Arial" w:cs="Arial" w:eastAsia="Arial" w:hAnsi="Arial"/>
          <w:sz w:val="22"/>
          <w:szCs w:val="22"/>
        </w:rPr>
        <w:t xml:space="preserve">El proyecto sigue una división de responsabilidades clara entre las dos herramientas que combina:</w:t>
      </w:r>
    </w:p>
    <w:p>
      <w:r>
        <w:rPr>
          <w:rFonts w:ascii="Arial" w:cs="Arial" w:eastAsia="Arial" w:hAnsi="Arial"/>
          <w:sz w:val="12"/>
          <w:szCs w:val="12"/>
        </w:rPr>
        <w:t xml:space="preserve">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NLP (este trabajo)           |    |   Modelo GEMSES (Pérez 2021)   |</w:t>
      </w:r>
    </w:p>
    <w:p>
      <w:pPr>
        <w:shd w:fill="F2F2F2" w:val="clear"/>
        <w:spacing w:after="0" w:before="0"/>
      </w:pPr>
      <w:r>
        <w:rPr>
          <w:rFonts w:ascii="Consolas" w:cs="Consolas" w:eastAsia="Consolas" w:hAnsi="Consolas"/>
          <w:sz w:val="16"/>
          <w:szCs w:val="16"/>
        </w:rPr>
        <w:t xml:space="preserve">   |                                |    |   Directiva ERSP de EsSalud     |</w:t>
      </w:r>
    </w:p>
    <w:p>
      <w:pPr>
        <w:shd w:fill="F2F2F2" w:val="clear"/>
        <w:spacing w:after="0" w:before="0"/>
      </w:pPr>
      <w:r>
        <w:rPr>
          <w:rFonts w:ascii="Consolas" w:cs="Consolas" w:eastAsia="Consolas" w:hAnsi="Consolas"/>
          <w:sz w:val="16"/>
          <w:szCs w:val="16"/>
        </w:rPr>
        <w:t xml:space="preserve">   |   - lee notas clinicas         |    |                                |</w:t>
      </w:r>
    </w:p>
    <w:p>
      <w:pPr>
        <w:shd w:fill="F2F2F2" w:val="clear"/>
        <w:spacing w:after="0" w:before="0"/>
      </w:pPr>
      <w:r>
        <w:rPr>
          <w:rFonts w:ascii="Consolas" w:cs="Consolas" w:eastAsia="Consolas" w:hAnsi="Consolas"/>
          <w:sz w:val="16"/>
          <w:szCs w:val="16"/>
        </w:rPr>
        <w:t xml:space="preserve">   |   - detecta eventos adversos   |    |   - valoraciones por panel     |</w:t>
      </w:r>
    </w:p>
    <w:p>
      <w:pPr>
        <w:shd w:fill="F2F2F2" w:val="clear"/>
        <w:spacing w:after="0" w:before="0"/>
      </w:pPr>
      <w:r>
        <w:rPr>
          <w:rFonts w:ascii="Consolas" w:cs="Consolas" w:eastAsia="Consolas" w:hAnsi="Consolas"/>
          <w:sz w:val="16"/>
          <w:szCs w:val="16"/>
        </w:rPr>
        <w:t xml:space="preserve">   |   - los codifica al Anexo 2    |    |     experto (c, d, e, f)       |</w:t>
      </w:r>
    </w:p>
    <w:p>
      <w:pPr>
        <w:shd w:fill="F2F2F2" w:val="clear"/>
        <w:spacing w:after="0" w:before="0"/>
      </w:pPr>
      <w:r>
        <w:rPr>
          <w:rFonts w:ascii="Consolas" w:cs="Consolas" w:eastAsia="Consolas" w:hAnsi="Consolas"/>
          <w:sz w:val="16"/>
          <w:szCs w:val="16"/>
        </w:rPr>
        <w:t xml:space="preserve">   |                                |    |   - formula de Impacto y       |</w:t>
      </w:r>
    </w:p>
    <w:p>
      <w:pPr>
        <w:shd w:fill="F2F2F2" w:val="clear"/>
        <w:spacing w:after="0" w:before="0"/>
      </w:pPr>
      <w:r>
        <w:rPr>
          <w:rFonts w:ascii="Consolas" w:cs="Consolas" w:eastAsia="Consolas" w:hAnsi="Consolas"/>
          <w:sz w:val="16"/>
          <w:szCs w:val="16"/>
        </w:rPr>
        <w:t xml:space="preserve">   |   DETECCION                    |    |     Nivel de Gestion           |</w:t>
      </w:r>
    </w:p>
    <w:p>
      <w:pPr>
        <w:shd w:fill="F2F2F2" w:val="clear"/>
        <w:spacing w:after="0" w:before="0"/>
      </w:pPr>
      <w:r>
        <w:rPr>
          <w:rFonts w:ascii="Consolas" w:cs="Consolas" w:eastAsia="Consolas" w:hAnsi="Consolas"/>
          <w:sz w:val="16"/>
          <w:szCs w:val="16"/>
        </w:rPr>
        <w:t xml:space="preserve">   |                                |    |                                |</w:t>
      </w:r>
    </w:p>
    <w:p>
      <w:pPr>
        <w:shd w:fill="F2F2F2" w:val="clear"/>
        <w:spacing w:after="0" w:before="0"/>
      </w:pPr>
      <w:r>
        <w:rPr>
          <w:rFonts w:ascii="Consolas" w:cs="Consolas" w:eastAsia="Consolas" w:hAnsi="Consolas"/>
          <w:sz w:val="16"/>
          <w:szCs w:val="16"/>
        </w:rPr>
        <w:t xml:space="preserve">   |                                |    |   PRIORIZACION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v   v</w:t>
      </w:r>
    </w:p>
    <w:p>
      <w:pPr>
        <w:shd w:fill="F2F2F2" w:val="clear"/>
        <w:spacing w:after="0" w:before="0"/>
      </w:pPr>
      <w:r>
        <w:rPr>
          <w:rFonts w:ascii="Consolas" w:cs="Consolas" w:eastAsia="Consolas" w:hAnsi="Consolas"/>
          <w:sz w:val="16"/>
          <w:szCs w:val="16"/>
        </w:rPr>
        <w:t xml:space="preserve">                         Matriz de Priorizacion GEMSES</w:t>
      </w:r>
    </w:p>
    <w:p>
      <w:pPr>
        <w:shd w:fill="F2F2F2" w:val="clear"/>
        <w:spacing w:after="0" w:before="0"/>
      </w:pPr>
      <w:r>
        <w:rPr>
          <w:rFonts w:ascii="Consolas" w:cs="Consolas" w:eastAsia="Consolas" w:hAnsi="Consolas"/>
          <w:sz w:val="16"/>
          <w:szCs w:val="16"/>
        </w:rPr>
        <w:t xml:space="preserve">                         (cifras tal cual de la normativa)</w:t>
      </w:r>
    </w:p>
    <w:p>
      <w:r>
        <w:rPr>
          <w:rFonts w:ascii="Arial" w:cs="Arial" w:eastAsia="Arial" w:hAnsi="Arial"/>
          <w:sz w:val="12"/>
          <w:szCs w:val="12"/>
        </w:rPr>
        <w:t xml:space="preserve"> </w:t>
      </w:r>
    </w:p>
    <w:p>
      <w:pPr>
        <w:spacing w:after="120"/>
      </w:pPr>
      <w:r>
        <w:rPr>
          <w:rFonts w:ascii="Arial" w:cs="Arial" w:eastAsia="Arial" w:hAnsi="Arial"/>
          <w:sz w:val="22"/>
          <w:szCs w:val="22"/>
        </w:rPr>
        <w:t xml:space="preserve">La tesis aplica el modelo normativo, no lo modifica. Las inconsistencias internas detectadas en el Anexo 2 quedan documentadas como observaciones para conocimiento de EsSalud, pero NO se propagan a los cálculos.</w:t>
      </w:r>
    </w:p>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Sesiones del 14 al 17 de mayo de 2026. El proyecto avanzó por siete etapas que dejan: (a) la primera Matriz de Priorización GEMSES integrando detección clínica (NLP) y estructural (LOS-DRG) sobre datos reales de MIMIC-IV, (b) un baseline cuantitativo validado por juicio experto con precisión que sube de 45 % a 77.8 % al aplicar filtro de contexto, (c) un detector estructural de estancia prolongada de alta confianza para el evento administrativo de mayor impacto del Anexo 2.</w:t>
      </w:r>
    </w:p>
    <w:p>
      <w:pPr>
        <w:pStyle w:val="ListParagraph"/>
        <w:numPr>
          <w:ilvl w:val="0"/>
          <w:numId w:val="2"/>
        </w:numPr>
        <w:spacing w:after="60"/>
      </w:pPr>
      <w:r>
        <w:rPr>
          <w:rFonts w:ascii="Arial" w:cs="Arial" w:eastAsia="Arial" w:hAnsi="Arial"/>
          <w:sz w:val="22"/>
          <w:szCs w:val="22"/>
        </w:rPr>
        <w:t xml:space="preserve">Etapa 1 — Instalación y verificación del dataset MIMIC-IV v3.1.</w:t>
      </w:r>
    </w:p>
    <w:p>
      <w:pPr>
        <w:pStyle w:val="ListParagraph"/>
        <w:numPr>
          <w:ilvl w:val="0"/>
          <w:numId w:val="2"/>
        </w:numPr>
        <w:spacing w:after="60"/>
      </w:pPr>
      <w:r>
        <w:rPr>
          <w:rFonts w:ascii="Arial" w:cs="Arial" w:eastAsia="Arial" w:hAnsi="Arial"/>
          <w:sz w:val="22"/>
          <w:szCs w:val="22"/>
        </w:rPr>
        <w:t xml:space="preserve">Etapa 2 — Corrección de la base de datos del Anexo 2 desde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y el Anexo 2.</w:t>
      </w:r>
    </w:p>
    <w:p>
      <w:pPr>
        <w:pStyle w:val="ListParagraph"/>
        <w:numPr>
          <w:ilvl w:val="0"/>
          <w:numId w:val="2"/>
        </w:numPr>
        <w:spacing w:after="60"/>
      </w:pPr>
      <w:r>
        <w:rPr>
          <w:rFonts w:ascii="Arial" w:cs="Arial" w:eastAsia="Arial" w:hAnsi="Arial"/>
          <w:sz w:val="22"/>
          <w:szCs w:val="22"/>
        </w:rPr>
        <w:t xml:space="preserve">Etapa 4 — Validación experta de 20 detecciones.</w:t>
      </w:r>
    </w:p>
    <w:p>
      <w:pPr>
        <w:pStyle w:val="ListParagraph"/>
        <w:numPr>
          <w:ilvl w:val="0"/>
          <w:numId w:val="2"/>
        </w:numPr>
        <w:spacing w:after="60"/>
      </w:pPr>
      <w:r>
        <w:rPr>
          <w:rFonts w:ascii="Arial" w:cs="Arial" w:eastAsia="Arial" w:hAnsi="Arial"/>
          <w:sz w:val="22"/>
          <w:szCs w:val="22"/>
        </w:rPr>
        <w:t xml:space="preserve">Etapa 5 — Filtro de contexto NegEx (precisión 45 % → 77.8 %).</w:t>
      </w:r>
    </w:p>
    <w:p>
      <w:pPr>
        <w:pStyle w:val="ListParagraph"/>
        <w:numPr>
          <w:ilvl w:val="0"/>
          <w:numId w:val="2"/>
        </w:numPr>
        <w:spacing w:after="60"/>
      </w:pPr>
      <w:r>
        <w:rPr>
          <w:rFonts w:ascii="Arial" w:cs="Arial" w:eastAsia="Arial" w:hAnsi="Arial"/>
          <w:sz w:val="22"/>
          <w:szCs w:val="22"/>
        </w:rPr>
        <w:t xml:space="preserve">Etapa 6 — Detector estructural de estancia prolongada (id_evento 1007).</w:t>
      </w:r>
    </w:p>
    <w:p>
      <w:pPr>
        <w:pStyle w:val="ListParagraph"/>
        <w:numPr>
          <w:ilvl w:val="0"/>
          <w:numId w:val="2"/>
        </w:numPr>
        <w:spacing w:after="60"/>
      </w:pPr>
      <w:r>
        <w:rPr>
          <w:rFonts w:ascii="Arial" w:cs="Arial" w:eastAsia="Arial" w:hAnsi="Arial"/>
          <w:sz w:val="22"/>
          <w:szCs w:val="22"/>
        </w:rPr>
        <w:t xml:space="preserve">Etapa 7 — Matriz GEMSES integrada con Impacto oficial de la directiva.</w:t>
      </w:r>
    </w:p>
    <w:p>
      <w:r>
        <w:br w:type="page"/>
      </w:r>
    </w:p>
    <w:p>
      <w:pPr>
        <w:pStyle w:val="Heading1"/>
      </w:pPr>
      <w:r>
        <w:rPr>
          <w:rFonts w:ascii="Arial" w:cs="Arial" w:eastAsia="Arial" w:hAnsi="Arial"/>
        </w:rPr>
        <w:t xml:space="preserve">2. Estado inicial del proyecto</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 datos listos</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 de la tesis)</w:t>
      </w:r>
    </w:p>
    <w:p>
      <w:r>
        <w:br w:type="page"/>
      </w:r>
    </w:p>
    <w:p>
      <w:pPr>
        <w:pStyle w:val="Heading1"/>
      </w:pPr>
      <w:r>
        <w:rPr>
          <w:rFonts w:ascii="Arial" w:cs="Arial" w:eastAsia="Arial" w:hAnsi="Arial"/>
        </w:rPr>
        <w:t xml:space="preserve">3. Etapa 1 — Instalación y verificación de MIMIC-IV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ZIPs + notas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hosp + 9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ruta esperada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33/33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Hallazgo: 331,793 epicrisis de 145,914 pacientes; longitud media ~10,500 chars; 99.86 % requiere segmentación para BioBERT.</w:t>
      </w:r>
    </w:p>
    <w:p>
      <w:r>
        <w:br w:type="page"/>
      </w:r>
    </w:p>
    <w:p>
      <w:pPr>
        <w:pStyle w:val="Heading1"/>
      </w:pPr>
      <w:r>
        <w:rPr>
          <w:rFonts w:ascii="Arial" w:cs="Arial" w:eastAsia="Arial" w:hAnsi="Arial"/>
        </w:rPr>
        <w:t xml:space="preserve">4. Etapa 2 — Corrección de la base de datos del Anexo 2</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PDF de la Directiva 100 % corrupto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Codificación del CSV rota</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Naturaleza Infección partida en 5 variantes</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eventos con Impacto que no cuadra con fórmula GEMSES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Observación</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Entrega de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UTF-8</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 de naturalezas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 variantes -&gt; 1</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Columnas de 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impacto, impacto_formula, verificacion</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Sobre los 33 eventos REVISAR: el análisis de tesis usa el valor de Impacto tal cual aparece en la directiva oficial. La discrepancia entre el Impacto reportado y el calculado por la fórmula GEMSES se documenta como observación para conocimiento de EsSalud, pero no se propaga al cálculo.</w:t>
      </w:r>
    </w:p>
    <w:p>
      <w:r>
        <w:br w:type="page"/>
      </w:r>
    </w:p>
    <w:p>
      <w:pPr>
        <w:pStyle w:val="Heading1"/>
      </w:pPr>
      <w:r>
        <w:rPr>
          <w:rFonts w:ascii="Arial" w:cs="Arial" w:eastAsia="Arial" w:hAnsi="Arial"/>
        </w:rPr>
        <w:t xml:space="preserve">5. Etapa 3 — Construcción del puente MIMIC ↔ Anexo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mapeo_anexo2_ingles.json (v0.2)</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-&gt; 186 patrones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MIMIC + gemses.db +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ListParagraph"/>
        <w:numPr>
          <w:ilvl w:val="0"/>
          <w:numId w:val="2"/>
        </w:numPr>
        <w:spacing w:after="60"/>
      </w:pPr>
      <w:r>
        <w:rPr>
          <w:rFonts w:ascii="Arial" w:cs="Arial" w:eastAsia="Arial" w:hAnsi="Arial"/>
          <w:sz w:val="22"/>
          <w:szCs w:val="22"/>
        </w:rPr>
        <w:t xml:space="preserve">1,358 notas (67.9 %) con al menos un evento detectado.</w:t>
      </w:r>
    </w:p>
    <w:p>
      <w:pPr>
        <w:pStyle w:val="ListParagraph"/>
        <w:numPr>
          <w:ilvl w:val="0"/>
          <w:numId w:val="2"/>
        </w:numPr>
        <w:spacing w:after="60"/>
      </w:pPr>
      <w:r>
        <w:rPr>
          <w:rFonts w:ascii="Arial" w:cs="Arial" w:eastAsia="Arial" w:hAnsi="Arial"/>
          <w:sz w:val="22"/>
          <w:szCs w:val="22"/>
        </w:rPr>
        <w:t xml:space="preserve">2,500 detecciones, 35 tipos de evento.</w:t>
      </w:r>
    </w:p>
    <w:p>
      <w:pPr>
        <w:pStyle w:val="ListParagraph"/>
        <w:numPr>
          <w:ilvl w:val="0"/>
          <w:numId w:val="2"/>
        </w:numPr>
        <w:spacing w:after="60"/>
      </w:pPr>
      <w:r>
        <w:rPr>
          <w:rFonts w:ascii="Arial" w:cs="Arial" w:eastAsia="Arial" w:hAnsi="Arial"/>
          <w:sz w:val="22"/>
          <w:szCs w:val="22"/>
        </w:rPr>
        <w:t xml:space="preserve">Limitación: el 67.9 % está inflado por falta de manejo de negación.</w:t>
      </w:r>
    </w:p>
    <w:p>
      <w:r>
        <w:br w:type="page"/>
      </w:r>
    </w:p>
    <w:p>
      <w:pPr>
        <w:pStyle w:val="Heading1"/>
      </w:pPr>
      <w:r>
        <w:rPr>
          <w:rFonts w:ascii="Arial" w:cs="Arial" w:eastAsia="Arial" w:hAnsi="Arial"/>
        </w:rPr>
        <w:t xml:space="preserve">6. Etapa 4 — Validación experta de 20 detecciones</w:t>
      </w:r>
    </w:p>
    <w:p>
      <w:pPr>
        <w:spacing w:after="120"/>
      </w:pPr>
      <w:r>
        <w:rPr>
          <w:rFonts w:ascii="Arial" w:cs="Arial" w:eastAsia="Arial" w:hAnsi="Arial"/>
          <w:sz w:val="22"/>
          <w:szCs w:val="22"/>
        </w:rPr>
        <w:t xml:space="preserve">Carlos llenó el CSV el 17/05/2026 en su rol de experto en gestión de calidad de EsSalud.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estratificada de 20 detecciones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alta/media/baja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(±350 chars)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el experto</w:t>
            </w:r>
          </w:p>
        </w:tc>
      </w:tr>
    </w:tbl>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Pipeline integrado</w:t>
      </w:r>
    </w:p>
    <w:p>
      <w:pPr>
        <w:shd w:fill="F2F2F2" w:val="clear"/>
        <w:spacing w:after="0" w:before="0"/>
      </w:pPr>
      <w:r>
        <w:rPr>
          <w:rFonts w:ascii="Consolas" w:cs="Consolas" w:eastAsia="Consolas" w:hAnsi="Consolas"/>
          <w:sz w:val="16"/>
          <w:szCs w:val="16"/>
        </w:rPr>
        <w:t xml:space="preserve">     FUENTE 1: MIMIC notes               FUENTE 2: Anexo 2 (directiva)</w:t>
      </w:r>
    </w:p>
    <w:p>
      <w:pPr>
        <w:shd w:fill="F2F2F2" w:val="clear"/>
        <w:spacing w:after="0" w:before="0"/>
      </w:pPr>
      <w:r>
        <w:rPr>
          <w:rFonts w:ascii="Consolas" w:cs="Consolas" w:eastAsia="Consolas" w:hAnsi="Consolas"/>
          <w:sz w:val="16"/>
          <w:szCs w:val="16"/>
        </w:rPr>
        <w:t xml:space="preserve">     discharge.text                       231 eventos con su Impacto</w:t>
      </w:r>
    </w:p>
    <w:p>
      <w:pPr>
        <w:shd w:fill="F2F2F2" w:val="clear"/>
        <w:spacing w:after="0" w:before="0"/>
      </w:pPr>
      <w:r>
        <w:rPr>
          <w:rFonts w:ascii="Consolas" w:cs="Consolas" w:eastAsia="Consolas" w:hAnsi="Consolas"/>
          <w:sz w:val="16"/>
          <w:szCs w:val="16"/>
        </w:rPr>
        <w:t xml:space="preserve">            |                             oficial (sin alteracion)</w:t>
      </w:r>
    </w:p>
    <w:p>
      <w:pPr>
        <w:shd w:fill="F2F2F2" w:val="clear"/>
        <w:spacing w:after="0" w:before="0"/>
      </w:pPr>
      <w:r>
        <w:rPr>
          <w:rFonts w:ascii="Consolas" w:cs="Consolas" w:eastAsia="Consolas" w:hAnsi="Consolas"/>
          <w:sz w:val="16"/>
          <w:szCs w:val="16"/>
        </w:rPr>
        <w:t xml:space="preserve">     [Etapa 3] reglas de palabras clave          |</w:t>
      </w:r>
    </w:p>
    <w:p>
      <w:pPr>
        <w:shd w:fill="F2F2F2" w:val="clear"/>
        <w:spacing w:after="0" w:before="0"/>
      </w:pPr>
      <w:r>
        <w:rPr>
          <w:rFonts w:ascii="Consolas" w:cs="Consolas" w:eastAsia="Consolas" w:hAnsi="Consolas"/>
          <w:sz w:val="16"/>
          <w:szCs w:val="16"/>
        </w:rPr>
        <w:t xml:space="preserve">     2,500 detecciones (precision 45%)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5] NegEx clasifica contexto          |</w:t>
      </w:r>
    </w:p>
    <w:p>
      <w:pPr>
        <w:shd w:fill="F2F2F2" w:val="clear"/>
        <w:spacing w:after="0" w:before="0"/>
      </w:pPr>
      <w:r>
        <w:rPr>
          <w:rFonts w:ascii="Consolas" w:cs="Consolas" w:eastAsia="Consolas" w:hAnsi="Consolas"/>
          <w:sz w:val="16"/>
          <w:szCs w:val="16"/>
        </w:rPr>
        <w:t xml:space="preserve">     -&gt; AFIRMADO / NEGADO / HIST / FAM / ...     |</w:t>
      </w:r>
    </w:p>
    <w:p>
      <w:pPr>
        <w:shd w:fill="F2F2F2" w:val="clear"/>
        <w:spacing w:after="0" w:before="0"/>
      </w:pPr>
      <w:r>
        <w:rPr>
          <w:rFonts w:ascii="Consolas" w:cs="Consolas" w:eastAsia="Consolas" w:hAnsi="Consolas"/>
          <w:sz w:val="16"/>
          <w:szCs w:val="16"/>
        </w:rPr>
        <w:t xml:space="preserve">     filtrar: solo AFIRMADO (1,172)              |</w:t>
      </w:r>
    </w:p>
    <w:p>
      <w:pPr>
        <w:shd w:fill="F2F2F2" w:val="clear"/>
        <w:spacing w:after="0" w:before="0"/>
      </w:pPr>
      <w:r>
        <w:rPr>
          <w:rFonts w:ascii="Consolas" w:cs="Consolas" w:eastAsia="Consolas" w:hAnsi="Consolas"/>
          <w:sz w:val="16"/>
          <w:szCs w:val="16"/>
        </w:rPr>
        <w:t xml:space="preserve">     (precision 78%)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FUENTE 3: MIMIC structured  |</w:t>
      </w:r>
    </w:p>
    <w:p>
      <w:pPr>
        <w:shd w:fill="F2F2F2" w:val="clear"/>
        <w:spacing w:after="0" w:before="0"/>
      </w:pPr>
      <w:r>
        <w:rPr>
          <w:rFonts w:ascii="Consolas" w:cs="Consolas" w:eastAsia="Consolas" w:hAnsi="Consolas"/>
          <w:sz w:val="16"/>
          <w:szCs w:val="16"/>
        </w:rPr>
        <w:t xml:space="preserve">            |         admissions + drgcodes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[Etapa 6] LOS vs P75-DRG    |</w:t>
      </w:r>
    </w:p>
    <w:p>
      <w:pPr>
        <w:shd w:fill="F2F2F2" w:val="clear"/>
        <w:spacing w:after="0" w:before="0"/>
      </w:pPr>
      <w:r>
        <w:rPr>
          <w:rFonts w:ascii="Consolas" w:cs="Consolas" w:eastAsia="Consolas" w:hAnsi="Consolas"/>
          <w:sz w:val="16"/>
          <w:szCs w:val="16"/>
        </w:rPr>
        <w:t xml:space="preserve">            |        327 estancias prolongadas   |</w:t>
      </w:r>
    </w:p>
    <w:p>
      <w:pPr>
        <w:shd w:fill="F2F2F2" w:val="clear"/>
        <w:spacing w:after="0" w:before="0"/>
      </w:pPr>
      <w:r>
        <w:rPr>
          <w:rFonts w:ascii="Consolas" w:cs="Consolas" w:eastAsia="Consolas" w:hAnsi="Consolas"/>
          <w:sz w:val="16"/>
          <w:szCs w:val="16"/>
        </w:rPr>
        <w:t xml:space="preserve">            |        (id_evento 1007)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7] integracion (1,499)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Impacto oficial &lt;---------+</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Matriz GEMSES integrada</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rPr>
          <w:rFonts w:ascii="Arial" w:cs="Arial" w:eastAsia="Arial" w:hAnsi="Arial"/>
          <w:sz w:val="12"/>
          <w:szCs w:val="12"/>
        </w:rPr>
        <w:t xml:space="preserve"> </w:t>
      </w:r>
    </w:p>
    <w:p>
      <w:pPr>
        <w:pStyle w:val="Heading2"/>
      </w:pPr>
      <w:r>
        <w:rPr>
          <w:rFonts w:ascii="Arial" w:cs="Arial" w:eastAsia="Arial" w:hAnsi="Arial"/>
        </w:rPr>
        <w:t xml:space="preserve">7.2 Las dos llaves</w:t>
      </w:r>
    </w:p>
    <w:p>
      <w:pPr>
        <w:shd w:fill="F2F2F2" w:val="clear"/>
        <w:spacing w:after="0" w:before="0"/>
      </w:pPr>
      <w:r>
        <w:rPr>
          <w:rFonts w:ascii="Consolas" w:cs="Consolas" w:eastAsia="Consolas" w:hAnsi="Consolas"/>
          <w:sz w:val="16"/>
          <w:szCs w:val="16"/>
        </w:rPr>
        <w:t xml:space="preserve">subject_id  -&gt;  el PACIENTE          (como el DNI)</w:t>
      </w:r>
    </w:p>
    <w:p>
      <w:pPr>
        <w:shd w:fill="F2F2F2" w:val="clear"/>
        <w:spacing w:after="0" w:before="0"/>
      </w:pPr>
      <w:r>
        <w:rPr>
          <w:rFonts w:ascii="Consolas" w:cs="Consolas" w:eastAsia="Consolas" w:hAnsi="Consolas"/>
          <w:sz w:val="16"/>
          <w:szCs w:val="16"/>
        </w:rPr>
        <w:t xml:space="preserve">hadm_id     -&gt;  la HOSPITALIZACION   (como el numero de cuenta)</w:t>
      </w:r>
    </w:p>
    <w:p>
      <w:r>
        <w:rPr>
          <w:rFonts w:ascii="Arial" w:cs="Arial" w:eastAsia="Arial" w:hAnsi="Arial"/>
          <w:sz w:val="12"/>
          <w:szCs w:val="12"/>
        </w:rPr>
        <w:t xml:space="preserve"> </w:t>
      </w:r>
    </w:p>
    <w:p>
      <w:pPr>
        <w:pStyle w:val="Heading2"/>
      </w:pPr>
      <w:r>
        <w:rPr>
          <w:rFonts w:ascii="Arial" w:cs="Arial" w:eastAsia="Arial" w:hAnsi="Arial"/>
        </w:rPr>
        <w:t xml:space="preserve">7.3 Flujo de cálculo de la Matriz GEMSES</w:t>
      </w:r>
    </w:p>
    <w:p>
      <w:pPr>
        <w:shd w:fill="F2F2F2" w:val="clear"/>
        <w:spacing w:after="0" w:before="0"/>
      </w:pPr>
      <w:r>
        <w:rPr>
          <w:rFonts w:ascii="Consolas" w:cs="Consolas" w:eastAsia="Consolas" w:hAnsi="Consolas"/>
          <w:sz w:val="16"/>
          <w:szCs w:val="16"/>
        </w:rPr>
        <w:t xml:space="preserve">B = A / sum(a)                       (Indice de Frecuencia)</w:t>
      </w:r>
    </w:p>
    <w:p>
      <w:pPr>
        <w:shd w:fill="F2F2F2" w:val="clear"/>
        <w:spacing w:after="0" w:before="0"/>
      </w:pPr>
      <w:r>
        <w:rPr>
          <w:rFonts w:ascii="Consolas" w:cs="Consolas" w:eastAsia="Consolas" w:hAnsi="Consolas"/>
          <w:sz w:val="16"/>
          <w:szCs w:val="16"/>
        </w:rPr>
        <w:t xml:space="preserve">G = valor del Anexo 2 (directiva)    (Impacto -- tal cual)</w:t>
      </w:r>
    </w:p>
    <w:p>
      <w:pPr>
        <w:shd w:fill="F2F2F2" w:val="clear"/>
        <w:spacing w:after="0" w:before="0"/>
      </w:pPr>
      <w:r>
        <w:rPr>
          <w:rFonts w:ascii="Consolas" w:cs="Consolas" w:eastAsia="Consolas" w:hAnsi="Consolas"/>
          <w:sz w:val="16"/>
          <w:szCs w:val="16"/>
        </w:rPr>
        <w:t xml:space="preserve">H = B * G                            (Riesgo)</w:t>
      </w:r>
    </w:p>
    <w:p>
      <w:pPr>
        <w:shd w:fill="F2F2F2" w:val="clear"/>
        <w:spacing w:after="0" w:before="0"/>
      </w:pPr>
      <w:r>
        <w:rPr>
          <w:rFonts w:ascii="Consolas" w:cs="Consolas" w:eastAsia="Consolas" w:hAnsi="Consolas"/>
          <w:sz w:val="16"/>
          <w:szCs w:val="16"/>
        </w:rPr>
        <w:t xml:space="preserve">I = H / sum(H)                       (Indice de Impacto)</w:t>
      </w:r>
    </w:p>
    <w:p>
      <w:pPr>
        <w:shd w:fill="F2F2F2" w:val="clear"/>
        <w:spacing w:after="0" w:before="0"/>
      </w:pPr>
      <w:r>
        <w:rPr>
          <w:rFonts w:ascii="Consolas" w:cs="Consolas" w:eastAsia="Consolas" w:hAnsi="Consolas"/>
          <w:sz w:val="16"/>
          <w:szCs w:val="16"/>
        </w:rPr>
        <w:t xml:space="preserve">J = I * 100                          (Nivel de Gestion)</w:t>
      </w:r>
    </w:p>
    <w:p>
      <w:pPr>
        <w:shd w:fill="F2F2F2" w:val="clear"/>
        <w:spacing w:after="0" w:before="0"/>
      </w:pPr>
      <w:r>
        <w:rPr>
          <w:rFonts w:ascii="Consolas" w:cs="Consolas" w:eastAsia="Consolas" w:hAnsi="Consolas"/>
          <w:sz w:val="16"/>
          <w:szCs w:val="16"/>
        </w:rPr>
        <w:t xml:space="preserve">   P25 -&gt; VERDE     P50 -&gt; AMARILLO     P75 -&gt;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(oficial)</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bl>
    <w:p>
      <w:r>
        <w:rPr>
          <w:rFonts w:ascii="Arial" w:cs="Arial" w:eastAsia="Arial" w:hAnsi="Arial"/>
          <w:sz w:val="12"/>
          <w:szCs w:val="12"/>
        </w:rPr>
        <w:t xml:space="preserve"> </w:t>
      </w:r>
    </w:p>
    <w:p>
      <w:pPr>
        <w:pStyle w:val="Heading2"/>
      </w:pPr>
      <w:r>
        <w:rPr>
          <w:rFonts w:ascii="Arial" w:cs="Arial" w:eastAsia="Arial" w:hAnsi="Arial"/>
        </w:rPr>
        <w:t xml:space="preserve">8.2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Puente MIMIC ↔ Anexo 2 (Etapa 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notebooks/fase2_nlp_negacion.ipynb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Filtro NegEx (Etapa 5)</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notebooks/negex_clinical.py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 v0.3 en Python puro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ES↔EN (v0.2)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notebooks/fase3_estancia_prolongada.ipynb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Detector LOS-DRG (Etapa 6)</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notebooks/fase4_matriz_gemses_integrada.ipynb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Integración (Etapa 7)</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fase2_detecciones_filtradas_negex.csv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Detecciones con columna contexto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validado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fase3_estancia_prolongada_positivas.csv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hadm positivas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fase4_detecciones_integradas.csv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1,499 detecciones unificadas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fase4_matriz_gemses_integrada.csv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final, Impacto oficial</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(precision 45%)</w:t>
      </w:r>
    </w:p>
    <w:p>
      <w:pPr>
        <w:shd w:fill="F2F2F2" w:val="clear"/>
        <w:spacing w:after="0" w:before="0"/>
      </w:pPr>
      <w:r>
        <w:rPr>
          <w:rFonts w:ascii="Consolas" w:cs="Consolas" w:eastAsia="Consolas" w:hAnsi="Consolas"/>
          <w:sz w:val="16"/>
          <w:szCs w:val="16"/>
        </w:rPr>
        <w:t xml:space="preserve">[OK ] Validacion experta de 20 notas (17/05/2026)</w:t>
      </w:r>
    </w:p>
    <w:p>
      <w:pPr>
        <w:shd w:fill="F2F2F2" w:val="clear"/>
        <w:spacing w:after="0" w:before="0"/>
      </w:pPr>
      <w:r>
        <w:rPr>
          <w:rFonts w:ascii="Consolas" w:cs="Consolas" w:eastAsia="Consolas" w:hAnsi="Consolas"/>
          <w:sz w:val="16"/>
          <w:szCs w:val="16"/>
        </w:rPr>
        <w:t xml:space="preserve">[OK ] Filtro NegEx aplicado          (precision 78%)</w:t>
      </w:r>
    </w:p>
    <w:p>
      <w:pPr>
        <w:shd w:fill="F2F2F2" w:val="clear"/>
        <w:spacing w:after="0" w:before="0"/>
      </w:pPr>
      <w:r>
        <w:rPr>
          <w:rFonts w:ascii="Consolas" w:cs="Consolas" w:eastAsia="Consolas" w:hAnsi="Consolas"/>
          <w:sz w:val="16"/>
          <w:szCs w:val="16"/>
        </w:rPr>
        <w:t xml:space="preserve">[OK ] Detector estructural de estancia prolongada (id 1007)</w:t>
      </w:r>
    </w:p>
    <w:p>
      <w:pPr>
        <w:shd w:fill="F2F2F2" w:val="clear"/>
        <w:spacing w:after="0" w:before="0"/>
      </w:pPr>
      <w:r>
        <w:rPr>
          <w:rFonts w:ascii="Consolas" w:cs="Consolas" w:eastAsia="Consolas" w:hAnsi="Consolas"/>
          <w:sz w:val="16"/>
          <w:szCs w:val="16"/>
        </w:rPr>
        <w:t xml:space="preserve">[OK ] Matriz GEMSES integrada con Impacto oficial de la directiva</w:t>
      </w:r>
    </w:p>
    <w:p>
      <w:pPr>
        <w:shd w:fill="F2F2F2" w:val="clear"/>
        <w:spacing w:after="0" w:before="0"/>
      </w:pPr>
      <w:r>
        <w:rPr>
          <w:rFonts w:ascii="Consolas" w:cs="Consolas" w:eastAsia="Consolas" w:hAnsi="Consolas"/>
          <w:sz w:val="16"/>
          <w:szCs w:val="16"/>
        </w:rPr>
        <w:t xml:space="preserve">[&gt;&gt; ] Validacion experta ampliada (50-100 notas)  (siguiente)</w:t>
      </w:r>
    </w:p>
    <w:p>
      <w:pPr>
        <w:shd w:fill="F2F2F2" w:val="clear"/>
        <w:spacing w:after="0" w:before="0"/>
      </w:pPr>
      <w:r>
        <w:rPr>
          <w:rFonts w:ascii="Consolas" w:cs="Consolas" w:eastAsia="Consolas" w:hAnsi="Consolas"/>
          <w:sz w:val="16"/>
          <w:szCs w:val="16"/>
        </w:rPr>
        <w:t xml:space="preserve">[   ] BioBERT/ClinicalBERT con GPU   (para FP semanticos)</w:t>
      </w:r>
    </w:p>
    <w:p>
      <w:pPr>
        <w:shd w:fill="F2F2F2" w:val="clear"/>
        <w:spacing w:after="0" w:before="0"/>
      </w:pPr>
      <w:r>
        <w:rPr>
          <w:rFonts w:ascii="Consolas" w:cs="Consolas" w:eastAsia="Consolas" w:hAnsi="Consolas"/>
          <w:sz w:val="16"/>
          <w:szCs w:val="16"/>
        </w:rPr>
        <w:t xml:space="preserve">[   ] Fase 1: corpus etiquetado 5,000 notas</w:t>
      </w:r>
    </w:p>
    <w:p>
      <w:pPr>
        <w:shd w:fill="F2F2F2" w:val="clear"/>
        <w:spacing w:after="0" w:before="0"/>
      </w:pPr>
      <w:r>
        <w:rPr>
          <w:rFonts w:ascii="Consolas" w:cs="Consolas" w:eastAsia="Consolas" w:hAnsi="Consolas"/>
          <w:sz w:val="16"/>
          <w:szCs w:val="16"/>
        </w:rPr>
        <w:t xml:space="preserve">[   ] Fases siguientes: multimodal, panel experto,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Validación ampliada a 50-100 notas (intervalos de confianza estables).</w:t>
      </w:r>
    </w:p>
    <w:p>
      <w:pPr>
        <w:pStyle w:val="ListParagraph"/>
        <w:numPr>
          <w:ilvl w:val="0"/>
          <w:numId w:val="2"/>
        </w:numPr>
        <w:spacing w:after="60"/>
      </w:pPr>
      <w:r>
        <w:rPr>
          <w:rFonts w:ascii="Arial" w:cs="Arial" w:eastAsia="Arial" w:hAnsi="Arial"/>
          <w:sz w:val="22"/>
          <w:szCs w:val="22"/>
        </w:rPr>
        <w:t xml:space="preserve">Solicitar entorno GPU para BioBERT (FP semánticos que NegEx no captura).</w:t>
      </w:r>
    </w:p>
    <w:p>
      <w:pPr>
        <w:pStyle w:val="ListParagraph"/>
        <w:numPr>
          <w:ilvl w:val="0"/>
          <w:numId w:val="2"/>
        </w:numPr>
        <w:spacing w:after="60"/>
      </w:pPr>
      <w:r>
        <w:rPr>
          <w:rFonts w:ascii="Arial" w:cs="Arial" w:eastAsia="Arial" w:hAnsi="Arial"/>
          <w:sz w:val="22"/>
          <w:szCs w:val="22"/>
        </w:rPr>
        <w:t xml:space="preserve">Reportar a EsSalud los 33 eventos del Anexo 2 con Impacto inconsistente, como observación (sin modificar el modelo).</w:t>
      </w:r>
    </w:p>
    <w:p>
      <w:pPr>
        <w:pStyle w:val="ListParagraph"/>
        <w:numPr>
          <w:ilvl w:val="0"/>
          <w:numId w:val="2"/>
        </w:numPr>
        <w:spacing w:after="60"/>
      </w:pPr>
      <w:r>
        <w:rPr>
          <w:rFonts w:ascii="Arial" w:cs="Arial" w:eastAsia="Arial" w:hAnsi="Arial"/>
          <w:sz w:val="22"/>
          <w:szCs w:val="22"/>
        </w:rPr>
        <w:t xml:space="preserve">Power BI: reapuntar al CSV corregido si existe tablero conectado.</w:t>
      </w:r>
    </w:p>
    <w:p>
      <w:pPr>
        <w:pStyle w:val="ListParagraph"/>
        <w:numPr>
          <w:ilvl w:val="0"/>
          <w:numId w:val="2"/>
        </w:numPr>
        <w:spacing w:after="60"/>
      </w:pPr>
      <w:r>
        <w:rPr>
          <w:rFonts w:ascii="Arial" w:cs="Arial" w:eastAsia="Arial" w:hAnsi="Arial"/>
          <w:sz w:val="22"/>
          <w:szCs w:val="22"/>
        </w:rPr>
        <w:t xml:space="preserve">Reemplazar el PDF corrupto de la Directiva por una copia válida.</w:t>
      </w:r>
    </w:p>
    <w:p>
      <w:pPr>
        <w:pStyle w:val="ListParagraph"/>
        <w:numPr>
          <w:ilvl w:val="0"/>
          <w:numId w:val="2"/>
        </w:numPr>
        <w:spacing w:after="60"/>
      </w:pPr>
      <w:r>
        <w:rPr>
          <w:rFonts w:ascii="Arial" w:cs="Arial" w:eastAsia="Arial" w:hAnsi="Arial"/>
          <w:sz w:val="22"/>
          <w:szCs w:val="22"/>
        </w:rPr>
        <w:t xml:space="preserve">Reclasificar AMA: no tiene id_evento exacto en el Anexo 2.</w:t>
      </w:r>
    </w:p>
    <w:p>
      <w:r>
        <w:br w:type="page"/>
      </w:r>
    </w:p>
    <w:p>
      <w:pPr>
        <w:pStyle w:val="Heading1"/>
      </w:pPr>
      <w:r>
        <w:rPr>
          <w:rFonts w:ascii="Arial" w:cs="Arial" w:eastAsia="Arial" w:hAnsi="Arial"/>
        </w:rPr>
        <w:t xml:space="preserve">11. Resultados de la validación experta (17/05/2026)</w:t>
      </w:r>
    </w:p>
    <w:p>
      <w:pPr>
        <w:pStyle w:val="Heading2"/>
      </w:pPr>
      <w:r>
        <w:rPr>
          <w:rFonts w:ascii="Arial" w:cs="Arial" w:eastAsia="Arial" w:hAnsi="Arial"/>
        </w:rPr>
        <w:t xml:space="preserve">11.1 Precisión inicial</w:t>
      </w:r>
    </w:p>
    <w:p>
      <w:pPr>
        <w:shd w:fill="F2F2F2" w:val="clear"/>
        <w:spacing w:after="0" w:before="0"/>
      </w:pPr>
      <w:r>
        <w:rPr>
          <w:rFonts w:ascii="Consolas" w:cs="Consolas" w:eastAsia="Consolas" w:hAnsi="Consolas"/>
          <w:sz w:val="16"/>
          <w:szCs w:val="16"/>
        </w:rPr>
        <w:t xml:space="preserve">   VERDADEROS POSITIVOS   :  9</w:t>
      </w:r>
    </w:p>
    <w:p>
      <w:pPr>
        <w:shd w:fill="F2F2F2" w:val="clear"/>
        <w:spacing w:after="0" w:before="0"/>
      </w:pPr>
      <w:r>
        <w:rPr>
          <w:rFonts w:ascii="Consolas" w:cs="Consolas" w:eastAsia="Consolas" w:hAnsi="Consolas"/>
          <w:sz w:val="16"/>
          <w:szCs w:val="16"/>
        </w:rPr>
        <w:t xml:space="preserve">   FALSOS POSITIVOS       : 11</w:t>
      </w:r>
    </w:p>
    <w:p>
      <w:pPr>
        <w:shd w:fill="F2F2F2" w:val="clear"/>
        <w:spacing w:after="0" w:before="0"/>
      </w:pPr>
      <w:r>
        <w:rPr>
          <w:rFonts w:ascii="Consolas" w:cs="Consolas" w:eastAsia="Consolas" w:hAnsi="Consolas"/>
          <w:sz w:val="16"/>
          <w:szCs w:val="16"/>
        </w:rPr>
        <w:t xml:space="preserve">   PRECISION              : 45.0 %</w:t>
      </w:r>
    </w:p>
    <w:p>
      <w:r>
        <w:rPr>
          <w:rFonts w:ascii="Arial" w:cs="Arial" w:eastAsia="Arial" w:hAnsi="Arial"/>
          <w:sz w:val="12"/>
          <w:szCs w:val="12"/>
        </w:rPr>
        <w:t xml:space="preserve"> </w:t>
      </w:r>
    </w:p>
    <w:p>
      <w:pPr>
        <w:pStyle w:val="Heading2"/>
      </w:pPr>
      <w:r>
        <w:rPr>
          <w:rFonts w:ascii="Arial" w:cs="Arial" w:eastAsia="Arial" w:hAnsi="Arial"/>
        </w:rPr>
        <w:t xml:space="preserve">11.2 Análisis de los 11 falsos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4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Tipo de error</w:t>
            </w:r>
          </w:p>
        </w:tc>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Ejemplo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Negación</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n8, n10, n13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 es de esta hospitalización</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n4 donante ABO, n12 admisión previa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Antecedente familiar</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n11 peritonitis del padre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 de ingreso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n18 hepatitis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 o mención de guía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n5 endocarditis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Hipotético / descartado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 etiología improbable</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Coincidencia casual</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n9 steri-strips will fall off</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Mapeo conceptualmente incorrecto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n16 AMA ≠ Vagabundeo</w:t>
            </w:r>
          </w:p>
        </w:tc>
      </w:tr>
    </w:tbl>
    <w:p>
      <w:r>
        <w:br w:type="page"/>
      </w:r>
    </w:p>
    <w:p>
      <w:pPr>
        <w:pStyle w:val="Heading1"/>
      </w:pPr>
      <w:r>
        <w:rPr>
          <w:rFonts w:ascii="Arial" w:cs="Arial" w:eastAsia="Arial" w:hAnsi="Arial"/>
        </w:rPr>
        <w:t xml:space="preserve">12. Etapa 5 — Filtro de contexto con NegEx</w:t>
      </w:r>
    </w:p>
    <w:p>
      <w:pPr>
        <w:spacing w:after="120"/>
      </w:pPr>
      <w:r>
        <w:rPr>
          <w:rFonts w:ascii="Arial" w:cs="Arial" w:eastAsia="Arial" w:hAnsi="Arial"/>
          <w:sz w:val="22"/>
          <w:szCs w:val="22"/>
        </w:rPr>
        <w:t xml:space="preserve">Implementación NegEx (Chapman et al., 2001) en Python puro. La v0.3 final conserva NegEx clásico con tres mejoras quirúrgicas: heurística de donante, lab report multi-oración y "unlikely" sentence-wide.</w:t>
      </w:r>
    </w:p>
    <w:p>
      <w:pPr>
        <w:pStyle w:val="Heading2"/>
      </w:pPr>
      <w:r>
        <w:rPr>
          <w:rFonts w:ascii="Arial" w:cs="Arial" w:eastAsia="Arial" w:hAnsi="Arial"/>
        </w:rPr>
        <w:t xml:space="preserve">12.1 Distribución del contexto en 2,500 detecciones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Categoría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Cantidad</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del total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AFIRMADO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46.9 %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NEGADO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22.8 %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HISTORICO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319</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HIPOTETICO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114</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MOTIVO_INGRESO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FAMILIAR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SEMANTICO_DONANTE</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0.0 %</w:t>
            </w:r>
          </w:p>
        </w:tc>
      </w:tr>
    </w:tbl>
    <w:p>
      <w:r>
        <w:rPr>
          <w:rFonts w:ascii="Arial" w:cs="Arial" w:eastAsia="Arial" w:hAnsi="Arial"/>
          <w:sz w:val="12"/>
          <w:szCs w:val="12"/>
        </w:rPr>
        <w:t xml:space="preserve"> </w:t>
      </w:r>
    </w:p>
    <w:p>
      <w:pPr>
        <w:pStyle w:val="Heading2"/>
      </w:pPr>
      <w:r>
        <w:rPr>
          <w:rFonts w:ascii="Arial" w:cs="Arial" w:eastAsia="Arial" w:hAnsi="Arial"/>
        </w:rPr>
        <w:t xml:space="preserve">12.2 Mejora medida contra los 20 casos validados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Sin filtro</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NegEx v0.3</w:t>
            </w:r>
          </w:p>
        </w:tc>
        <w:tc>
          <w:tcPr>
            <w:tcW w:type="dxa" w:w="2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Mejora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Precisión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45.0 %</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+32.8 pp</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Recall (VP conservados)</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100 %</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−22.2 pp</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Falsos positivos restantes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w:t>
            </w:r>
          </w:p>
        </w:tc>
      </w:tr>
    </w:tbl>
    <w:p>
      <w:r>
        <w:br w:type="page"/>
      </w:r>
    </w:p>
    <w:p>
      <w:pPr>
        <w:pStyle w:val="Heading1"/>
      </w:pPr>
      <w:r>
        <w:rPr>
          <w:rFonts w:ascii="Arial" w:cs="Arial" w:eastAsia="Arial" w:hAnsi="Arial"/>
        </w:rPr>
        <w:t xml:space="preserve">13. Etapa 6 — Detector de Estancia Prolongada (id_evento 1007)</w:t>
      </w:r>
    </w:p>
    <w:p>
      <w:pPr>
        <w:spacing w:after="120"/>
      </w:pPr>
      <w:r>
        <w:rPr>
          <w:rFonts w:ascii="Arial" w:cs="Arial" w:eastAsia="Arial" w:hAnsi="Arial"/>
          <w:sz w:val="22"/>
          <w:szCs w:val="22"/>
        </w:rPr>
        <w:t xml:space="preserve">"Estancia prolongada" se detecta de datos estructurados sin NLP. Estrategia DRG-P75: una hospitalización se marca como prolongada si su LOS supera el percentil 75 de la distribución de LOS dentro de su mismo grupo DRG.</w:t>
      </w:r>
    </w:p>
    <w:p>
      <w:pPr>
        <w:pStyle w:val="Heading2"/>
      </w:pPr>
      <w:r>
        <w:rPr>
          <w:rFonts w:ascii="Arial" w:cs="Arial" w:eastAsia="Arial" w:hAnsi="Arial"/>
        </w:rPr>
        <w:t xml:space="preserve">13.1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Valor</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Cohorte evaluable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382,299 hospitalizaciones (99.7 %)</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DRGs distintos evaluables (n&gt;=30)</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325 de 458</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Estancias prolongadas detectadas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(25 % del cohorte)</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Exceso medio cuando ocurre</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 días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Confianza del detector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 (datos estructurados objetivos)</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Dentro de la muestra de 2,000 hadm del NLP</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 positivas</w:t>
            </w:r>
          </w:p>
        </w:tc>
      </w:tr>
    </w:tbl>
    <w:p>
      <w:r>
        <w:rPr>
          <w:rFonts w:ascii="Arial" w:cs="Arial" w:eastAsia="Arial" w:hAnsi="Arial"/>
          <w:sz w:val="12"/>
          <w:szCs w:val="12"/>
        </w:rPr>
        <w:t xml:space="preserve"> </w:t>
      </w:r>
    </w:p>
    <w:p>
      <w:pPr>
        <w:pStyle w:val="Heading2"/>
      </w:pPr>
      <w:r>
        <w:rPr>
          <w:rFonts w:ascii="Arial" w:cs="Arial" w:eastAsia="Arial" w:hAnsi="Arial"/>
        </w:rPr>
        <w:t xml:space="preserve">13.2 Top DRGs con más estancias prolongadas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DRG</w:t>
            </w:r>
          </w:p>
        </w:tc>
        <w:tc>
          <w:tcPr>
            <w:tcW w:type="dxa" w:w="5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c>
          <w:tcPr>
            <w:tcW w:type="dxa" w:w="3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 prolongados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560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Vaginal Delivery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3,148</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194</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Heart Failure</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2,730</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720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Septicemia and Disseminated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2,386</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540</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Cesarean Section</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1,716</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139</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Other Pneumonia</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1,509</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463</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Kidney/Urinary Tract Infections</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1,321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Cellulitis and Other Skin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1,245</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Observación: los DRG de Septicemia, ITU y Celulitis figuran entre los principales con estancias prolongadas. Cruzar este detector con los detectores NLP de infecciones permite cuantificar cuánto de la estancia se atribuye a infecciones asociadas a la atención — operacionalización directa del modelo GEMSES.</w:t>
      </w:r>
    </w:p>
    <w:p>
      <w:r>
        <w:br w:type="page"/>
      </w:r>
    </w:p>
    <w:p>
      <w:pPr>
        <w:pStyle w:val="Heading1"/>
      </w:pPr>
      <w:r>
        <w:rPr>
          <w:rFonts w:ascii="Arial" w:cs="Arial" w:eastAsia="Arial" w:hAnsi="Arial"/>
        </w:rPr>
        <w:t xml:space="preserve">14. Etapa 7 — Matriz GEMSES integrada con Impacto oficial</w:t>
      </w:r>
    </w:p>
    <w:p>
      <w:pPr>
        <w:pStyle w:val="Heading2"/>
      </w:pPr>
      <w:r>
        <w:rPr>
          <w:rFonts w:ascii="Arial" w:cs="Arial" w:eastAsia="Arial" w:hAnsi="Arial"/>
        </w:rPr>
        <w:t xml:space="preserve">14.1 Integración de las dos fuentes de detección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5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Detecciones AFIRMADAS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NLP filtrado por NegEx (Etapa 5)</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 / DRG-P75 (Etapa 6)</w:t>
            </w:r>
          </w:p>
        </w:tc>
        <w:tc>
          <w:tcPr>
            <w:tcW w:type="dxa" w:w="58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TOTAL integrado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1,499</w:t>
            </w:r>
          </w:p>
        </w:tc>
      </w:tr>
    </w:tbl>
    <w:p>
      <w:r>
        <w:rPr>
          <w:rFonts w:ascii="Arial" w:cs="Arial" w:eastAsia="Arial" w:hAnsi="Arial"/>
          <w:sz w:val="12"/>
          <w:szCs w:val="12"/>
        </w:rPr>
        <w:t xml:space="preserve"> </w:t>
      </w:r>
    </w:p>
    <w:p>
      <w:pPr>
        <w:pStyle w:val="Heading2"/>
      </w:pPr>
      <w:r>
        <w:rPr>
          <w:rFonts w:ascii="Arial" w:cs="Arial" w:eastAsia="Arial" w:hAnsi="Arial"/>
        </w:rPr>
        <w:t xml:space="preserve">14.2 Decisión metodológica</w:t>
      </w:r>
    </w:p>
    <w:p>
      <w:pPr>
        <w:spacing w:after="120"/>
      </w:pPr>
      <w:r>
        <w:rPr>
          <w:rFonts w:ascii="Arial" w:cs="Arial" w:eastAsia="Arial" w:hAnsi="Arial"/>
          <w:sz w:val="22"/>
          <w:szCs w:val="22"/>
        </w:rPr>
        <w:t xml:space="preserve">La Matriz GEMSES usa el valor de Impacto exactamente como aparece en el Anexo 2 oficial de la directiva. La tesis APLICA el modelo normativo, no lo modifica. Los 33 eventos cuyo Impacto en la directiva no coincide con la fórmula GEMSES quedan documentados como observación en la columna 'verificacion', pero su valor se conserva sin alteración en el cálculo. Cualquier ajuste a la directiva es competencia de EsSalud, no de esta tesis.</w:t>
      </w:r>
    </w:p>
    <w:p>
      <w:r>
        <w:rPr>
          <w:rFonts w:ascii="Arial" w:cs="Arial" w:eastAsia="Arial" w:hAnsi="Arial"/>
          <w:sz w:val="12"/>
          <w:szCs w:val="12"/>
        </w:rPr>
        <w:t xml:space="preserve"> </w:t>
      </w:r>
    </w:p>
    <w:p>
      <w:pPr>
        <w:pStyle w:val="Heading2"/>
      </w:pPr>
      <w:r>
        <w:rPr>
          <w:rFonts w:ascii="Arial" w:cs="Arial" w:eastAsia="Arial" w:hAnsi="Arial"/>
        </w:rPr>
        <w:t xml:space="preserve">14.3 Top 10 eventos por Riesgo (H) — Matriz Integrada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200"/>
        <w:gridCol w:w="720"/>
        <w:gridCol w:w="600"/>
        <w:gridCol w:w="840"/>
      </w:tblGrid>
      <w:t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ID</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Evento</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Naturaleza</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7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Frec</w:t>
            </w:r>
          </w:p>
        </w:tc>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w:t>
            </w:r>
          </w:p>
        </w:tc>
        <w:tc>
          <w:tcPr>
            <w:tcW w:type="dxa" w:w="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Nivel</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 prolongada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GESTIÓN DE LA ORGANIZACIÓN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LOS_DRG</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7.35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tracto urinario</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195</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7031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 difficile asociada a antibióticos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88</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8032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Trombosis venosa</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113</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Caída de paciente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CUIDADO DEL PACIENTE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250</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601</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torrente sanguíneo</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75</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6030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Osteomielitis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29</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8.55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 la piel</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102</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2.05</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Dosis o frecuencia errónea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3.70</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8016</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Neumotórax</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40</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AMARILLO</w:t>
            </w:r>
          </w:p>
        </w:tc>
      </w:tr>
    </w:tbl>
    <w:p>
      <w:r>
        <w:rPr>
          <w:rFonts w:ascii="Arial" w:cs="Arial" w:eastAsia="Arial" w:hAnsi="Arial"/>
          <w:sz w:val="12"/>
          <w:szCs w:val="12"/>
        </w:rPr>
        <w:t xml:space="preserve"> </w:t>
      </w:r>
    </w:p>
    <w:p>
      <w:pPr>
        <w:pStyle w:val="Heading2"/>
      </w:pPr>
      <w:r>
        <w:rPr>
          <w:rFonts w:ascii="Arial" w:cs="Arial" w:eastAsia="Arial" w:hAnsi="Arial"/>
        </w:rPr>
        <w:t xml:space="preserve">14.4 Implicaciones para el Capítulo III</w:t>
      </w:r>
    </w:p>
    <w:p>
      <w:pPr>
        <w:pStyle w:val="ListParagraph"/>
        <w:numPr>
          <w:ilvl w:val="0"/>
          <w:numId w:val="2"/>
        </w:numPr>
        <w:spacing w:after="60"/>
      </w:pPr>
      <w:r>
        <w:rPr>
          <w:rFonts w:ascii="Arial" w:cs="Arial" w:eastAsia="Arial" w:hAnsi="Arial"/>
          <w:sz w:val="22"/>
          <w:szCs w:val="22"/>
        </w:rPr>
        <w:t xml:space="preserve">La Matriz GEMSES integra por primera vez detección clínica (NLP) y administrativa (LOS-DRG) sobre la misma cohorte, respetando íntegramente la valoración normativa del Anexo 2.</w:t>
      </w:r>
    </w:p>
    <w:p>
      <w:pPr>
        <w:pStyle w:val="ListParagraph"/>
        <w:numPr>
          <w:ilvl w:val="0"/>
          <w:numId w:val="2"/>
        </w:numPr>
        <w:spacing w:after="60"/>
      </w:pPr>
      <w:r>
        <w:rPr>
          <w:rFonts w:ascii="Arial" w:cs="Arial" w:eastAsia="Arial" w:hAnsi="Arial"/>
          <w:sz w:val="22"/>
          <w:szCs w:val="22"/>
        </w:rPr>
        <w:t xml:space="preserve">Estancia prolongada (id 1007) encabeza el ranking de riesgo: alta frecuencia (327) combinada con alto impacto (7.35) por la directiva.</w:t>
      </w:r>
    </w:p>
    <w:p>
      <w:pPr>
        <w:pStyle w:val="ListParagraph"/>
        <w:numPr>
          <w:ilvl w:val="0"/>
          <w:numId w:val="2"/>
        </w:numPr>
        <w:spacing w:after="60"/>
      </w:pPr>
      <w:r>
        <w:rPr>
          <w:rFonts w:ascii="Arial" w:cs="Arial" w:eastAsia="Arial" w:hAnsi="Arial"/>
          <w:sz w:val="22"/>
          <w:szCs w:val="22"/>
        </w:rPr>
        <w:t xml:space="preserve">La cruza Septicemia/ITU/Celulitis vs estancia prolongada permite cuantificar el costo en días de las infecciones asociadas a la atención.</w:t>
      </w:r>
    </w:p>
    <w:p>
      <w:pPr>
        <w:pStyle w:val="ListParagraph"/>
        <w:numPr>
          <w:ilvl w:val="0"/>
          <w:numId w:val="2"/>
        </w:numPr>
        <w:spacing w:after="60"/>
      </w:pPr>
      <w:r>
        <w:rPr>
          <w:rFonts w:ascii="Arial" w:cs="Arial" w:eastAsia="Arial" w:hAnsi="Arial"/>
          <w:sz w:val="22"/>
          <w:szCs w:val="22"/>
        </w:rPr>
        <w:t xml:space="preserve">La detección de las 33 inconsistencias en el Anexo 2 es un hallazgo documentado para EsSalud, sin alterar el modelo aplicado.</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v5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2026-05-18T01:38:00.976Z</dcterms:created>
  <dcterms:modified xsi:type="dcterms:W3CDTF">2026-05-18T01:38:00.977Z</dcterms:modified>
</cp:coreProperties>
</file>

<file path=docProps/custom.xml><?xml version="1.0" encoding="utf-8"?>
<Properties xmlns="http://schemas.openxmlformats.org/officeDocument/2006/custom-properties" xmlns:vt="http://schemas.openxmlformats.org/officeDocument/2006/docPropsVTypes"/>
</file>