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1F3864"/>
          <w:sz w:val="56"/>
          <w:szCs w:val="56"/>
        </w:rPr>
        <w:t xml:space="preserve">INFORME DE AVANCE</w:t>
      </w:r>
    </w:p>
    <w:p>
      <w:pPr>
        <w:spacing w:before="120"/>
        <w:jc w:val="center"/>
      </w:pPr>
      <w:r>
        <w:rPr>
          <w:rFonts w:ascii="Arial" w:cs="Arial" w:eastAsia="Arial" w:hAnsi="Arial"/>
          <w:sz w:val="30"/>
          <w:szCs w:val="30"/>
        </w:rPr>
        <w:t xml:space="preserve">Pipeline de detección y priorización de eventos adversos</w:t>
      </w:r>
    </w:p>
    <w:p>
      <w:pPr>
        <w:spacing w:before="60"/>
        <w:jc w:val="center"/>
      </w:pPr>
      <w:r>
        <w:rPr>
          <w:rFonts w:ascii="Arial" w:cs="Arial" w:eastAsia="Arial" w:hAnsi="Arial"/>
          <w:sz w:val="30"/>
          <w:szCs w:val="30"/>
        </w:rPr>
        <w:t xml:space="preserve">Modelo GEMSES sobre el dataset MIMIC-IV</w:t>
      </w:r>
    </w:p>
    <w:p>
      <w:pPr>
        <w:spacing w:before="600"/>
        <w:jc w:val="center"/>
      </w:pPr>
      <w:r>
        <w:rPr>
          <w:rFonts w:ascii="Arial" w:cs="Arial" w:eastAsia="Arial" w:hAnsi="Arial"/>
          <w:i/>
          <w:iCs/>
          <w:color w:val="2E5496"/>
          <w:sz w:val="22"/>
          <w:szCs w:val="22"/>
        </w:rPr>
        <w:t xml:space="preserve">Principio rector: NLP detecta, GEMSES prioriza (directiva)</w:t>
      </w:r>
    </w:p>
    <w:p>
      <w:pPr>
        <w:spacing w:before="800"/>
        <w:jc w:val="center"/>
      </w:pPr>
      <w:r>
        <w:rPr>
          <w:rFonts w:ascii="Arial" w:cs="Arial" w:eastAsia="Arial" w:hAnsi="Arial"/>
          <w:sz w:val="24"/>
          <w:szCs w:val="24"/>
        </w:rPr>
        <w:t xml:space="preserve">Tesis de Maestría en Inteligencia Artificial — UNI</w:t>
      </w:r>
    </w:p>
    <w:p>
      <w:pPr>
        <w:spacing w:before="60"/>
        <w:jc w:val="center"/>
      </w:pPr>
      <w:r>
        <w:rPr>
          <w:rFonts w:ascii="Arial" w:cs="Arial" w:eastAsia="Arial" w:hAnsi="Arial"/>
          <w:sz w:val="24"/>
          <w:szCs w:val="24"/>
        </w:rPr>
        <w:t xml:space="preserve">Curso MIA 303 — Proyectos de Investigación I</w:t>
      </w:r>
    </w:p>
    <w:p>
      <w:pPr>
        <w:spacing w:before="600"/>
        <w:jc w:val="center"/>
      </w:pPr>
      <w:r>
        <w:rPr>
          <w:rFonts w:ascii="Arial" w:cs="Arial" w:eastAsia="Arial" w:hAnsi="Arial"/>
          <w:b/>
          <w:bCs/>
          <w:sz w:val="24"/>
          <w:szCs w:val="24"/>
        </w:rPr>
        <w:t xml:space="preserve">Autor: Carlos Pérez Pérez</w:t>
      </w:r>
    </w:p>
    <w:p>
      <w:pPr>
        <w:spacing w:before="60"/>
        <w:jc w:val="center"/>
      </w:pPr>
      <w:r>
        <w:rPr>
          <w:rFonts w:ascii="Arial" w:cs="Arial" w:eastAsia="Arial" w:hAnsi="Arial"/>
          <w:sz w:val="24"/>
          <w:szCs w:val="24"/>
        </w:rPr>
        <w:t xml:space="preserve">Sesiones: 14 al 17 de mayo de 2026</w:t>
      </w:r>
    </w:p>
    <w:p>
      <w:pPr>
        <w:spacing w:before="60"/>
        <w:jc w:val="center"/>
      </w:pPr>
      <w:r>
        <w:rPr>
          <w:rFonts w:ascii="Arial" w:cs="Arial" w:eastAsia="Arial" w:hAnsi="Arial"/>
          <w:i/>
          <w:iCs/>
          <w:color w:val="595959"/>
          <w:sz w:val="20"/>
          <w:szCs w:val="20"/>
        </w:rPr>
        <w:t xml:space="preserve">Versión 6 — incluye cuantificación operacional NLP × Estancia prolongada</w:t>
      </w:r>
    </w:p>
    <w:p>
      <w:r>
        <w:br w:type="page"/>
      </w:r>
    </w:p>
    <w:p>
      <w:pPr>
        <w:pStyle w:val="Heading1"/>
      </w:pPr>
      <w:r>
        <w:rPr>
          <w:rFonts w:ascii="Arial" w:cs="Arial" w:eastAsia="Arial" w:hAnsi="Arial"/>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Principio rector del trabajo</w:t>
      </w:r>
    </w:p>
    <w:p>
      <w:pPr>
        <w:spacing w:after="120"/>
      </w:pPr>
      <w:r>
        <w:rPr>
          <w:rFonts w:ascii="Arial" w:cs="Arial" w:eastAsia="Arial" w:hAnsi="Arial"/>
          <w:sz w:val="22"/>
          <w:szCs w:val="22"/>
        </w:rPr>
        <w:t xml:space="preserve">El proyecto sigue una división de responsabilidades clara entre las dos herramientas que combina:</w:t>
      </w:r>
    </w:p>
    <w:p>
      <w:r>
        <w:rPr>
          <w:rFonts w:ascii="Arial" w:cs="Arial" w:eastAsia="Arial" w:hAnsi="Arial"/>
          <w:sz w:val="12"/>
          <w:szCs w:val="12"/>
        </w:rPr>
        <w:t xml:space="preserve">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NLP (este trabajo)           |    |   Modelo GEMSES (Pérez 2021)   |</w:t>
      </w:r>
    </w:p>
    <w:p>
      <w:pPr>
        <w:shd w:fill="F2F2F2" w:val="clear"/>
        <w:spacing w:after="0" w:before="0"/>
      </w:pPr>
      <w:r>
        <w:rPr>
          <w:rFonts w:ascii="Consolas" w:cs="Consolas" w:eastAsia="Consolas" w:hAnsi="Consolas"/>
          <w:sz w:val="16"/>
          <w:szCs w:val="16"/>
        </w:rPr>
        <w:t xml:space="preserve">   |                                |    |   Directiva ERSP de EsSalud     |</w:t>
      </w:r>
    </w:p>
    <w:p>
      <w:pPr>
        <w:shd w:fill="F2F2F2" w:val="clear"/>
        <w:spacing w:after="0" w:before="0"/>
      </w:pPr>
      <w:r>
        <w:rPr>
          <w:rFonts w:ascii="Consolas" w:cs="Consolas" w:eastAsia="Consolas" w:hAnsi="Consolas"/>
          <w:sz w:val="16"/>
          <w:szCs w:val="16"/>
        </w:rPr>
        <w:t xml:space="preserve">   |   - lee notas clinicas         |    |                                |</w:t>
      </w:r>
    </w:p>
    <w:p>
      <w:pPr>
        <w:shd w:fill="F2F2F2" w:val="clear"/>
        <w:spacing w:after="0" w:before="0"/>
      </w:pPr>
      <w:r>
        <w:rPr>
          <w:rFonts w:ascii="Consolas" w:cs="Consolas" w:eastAsia="Consolas" w:hAnsi="Consolas"/>
          <w:sz w:val="16"/>
          <w:szCs w:val="16"/>
        </w:rPr>
        <w:t xml:space="preserve">   |   - detecta eventos adversos   |    |   - valoraciones por panel     |</w:t>
      </w:r>
    </w:p>
    <w:p>
      <w:pPr>
        <w:shd w:fill="F2F2F2" w:val="clear"/>
        <w:spacing w:after="0" w:before="0"/>
      </w:pPr>
      <w:r>
        <w:rPr>
          <w:rFonts w:ascii="Consolas" w:cs="Consolas" w:eastAsia="Consolas" w:hAnsi="Consolas"/>
          <w:sz w:val="16"/>
          <w:szCs w:val="16"/>
        </w:rPr>
        <w:t xml:space="preserve">   |   - los codifica al Anexo 2    |    |     experto (c, d, e, f)       |</w:t>
      </w:r>
    </w:p>
    <w:p>
      <w:pPr>
        <w:shd w:fill="F2F2F2" w:val="clear"/>
        <w:spacing w:after="0" w:before="0"/>
      </w:pPr>
      <w:r>
        <w:rPr>
          <w:rFonts w:ascii="Consolas" w:cs="Consolas" w:eastAsia="Consolas" w:hAnsi="Consolas"/>
          <w:sz w:val="16"/>
          <w:szCs w:val="16"/>
        </w:rPr>
        <w:t xml:space="preserve">   |                                |    |   - formula de Impacto y       |</w:t>
      </w:r>
    </w:p>
    <w:p>
      <w:pPr>
        <w:shd w:fill="F2F2F2" w:val="clear"/>
        <w:spacing w:after="0" w:before="0"/>
      </w:pPr>
      <w:r>
        <w:rPr>
          <w:rFonts w:ascii="Consolas" w:cs="Consolas" w:eastAsia="Consolas" w:hAnsi="Consolas"/>
          <w:sz w:val="16"/>
          <w:szCs w:val="16"/>
        </w:rPr>
        <w:t xml:space="preserve">   |   DETECCION                    |    |     Nivel de Gestion           |</w:t>
      </w:r>
    </w:p>
    <w:p>
      <w:pPr>
        <w:shd w:fill="F2F2F2" w:val="clear"/>
        <w:spacing w:after="0" w:before="0"/>
      </w:pPr>
      <w:r>
        <w:rPr>
          <w:rFonts w:ascii="Consolas" w:cs="Consolas" w:eastAsia="Consolas" w:hAnsi="Consolas"/>
          <w:sz w:val="16"/>
          <w:szCs w:val="16"/>
        </w:rPr>
        <w:t xml:space="preserve">   |                                |    |                                |</w:t>
      </w:r>
    </w:p>
    <w:p>
      <w:pPr>
        <w:shd w:fill="F2F2F2" w:val="clear"/>
        <w:spacing w:after="0" w:before="0"/>
      </w:pPr>
      <w:r>
        <w:rPr>
          <w:rFonts w:ascii="Consolas" w:cs="Consolas" w:eastAsia="Consolas" w:hAnsi="Consolas"/>
          <w:sz w:val="16"/>
          <w:szCs w:val="16"/>
        </w:rPr>
        <w:t xml:space="preserve">   |                                |    |   PRIORIZACION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v   v</w:t>
      </w:r>
    </w:p>
    <w:p>
      <w:pPr>
        <w:shd w:fill="F2F2F2" w:val="clear"/>
        <w:spacing w:after="0" w:before="0"/>
      </w:pPr>
      <w:r>
        <w:rPr>
          <w:rFonts w:ascii="Consolas" w:cs="Consolas" w:eastAsia="Consolas" w:hAnsi="Consolas"/>
          <w:sz w:val="16"/>
          <w:szCs w:val="16"/>
        </w:rPr>
        <w:t xml:space="preserve">                         Matriz de Priorizacion GEMSES</w:t>
      </w:r>
    </w:p>
    <w:p>
      <w:pPr>
        <w:shd w:fill="F2F2F2" w:val="clear"/>
        <w:spacing w:after="0" w:before="0"/>
      </w:pPr>
      <w:r>
        <w:rPr>
          <w:rFonts w:ascii="Consolas" w:cs="Consolas" w:eastAsia="Consolas" w:hAnsi="Consolas"/>
          <w:sz w:val="16"/>
          <w:szCs w:val="16"/>
        </w:rPr>
        <w:t xml:space="preserve">                         (cifras tal cual de la normativa)</w:t>
      </w:r>
    </w:p>
    <w:p>
      <w:r>
        <w:rPr>
          <w:rFonts w:ascii="Arial" w:cs="Arial" w:eastAsia="Arial" w:hAnsi="Arial"/>
          <w:sz w:val="12"/>
          <w:szCs w:val="12"/>
        </w:rPr>
        <w:t xml:space="preserve"> </w:t>
      </w:r>
    </w:p>
    <w:p>
      <w:pPr>
        <w:spacing w:after="120"/>
      </w:pPr>
      <w:r>
        <w:rPr>
          <w:rFonts w:ascii="Arial" w:cs="Arial" w:eastAsia="Arial" w:hAnsi="Arial"/>
          <w:sz w:val="22"/>
          <w:szCs w:val="22"/>
        </w:rPr>
        <w:t xml:space="preserve">La tesis aplica el modelo normativo, no lo modifica. Las inconsistencias internas detectadas en el Anexo 2 quedan documentadas como observaciones para conocimiento de EsSalud, pero NO se propagan a los cálculos.</w:t>
      </w:r>
    </w:p>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Sesiones del 14 al 17 de mayo de 2026. Ocho etapas que dejan: (a) la primera Matriz GEMSES integrando detección clínica (NLP) y estructural (LOS-DRG), (b) baseline cuantitativo validado por juicio experto con precisión que sube de 45% a 77.8% con filtro de contexto, (c) detector estructural de estancia prolongada de alta confianza, (d) cuantificación operacional empírica de la asociación entre eventos clínicos y prolongación de estancia (RR=1.49).</w:t>
      </w:r>
    </w:p>
    <w:p>
      <w:pPr>
        <w:pStyle w:val="ListParagraph"/>
        <w:numPr>
          <w:ilvl w:val="0"/>
          <w:numId w:val="2"/>
        </w:numPr>
        <w:spacing w:after="60"/>
      </w:pPr>
      <w:r>
        <w:rPr>
          <w:rFonts w:ascii="Arial" w:cs="Arial" w:eastAsia="Arial" w:hAnsi="Arial"/>
          <w:sz w:val="22"/>
          <w:szCs w:val="22"/>
        </w:rPr>
        <w:t xml:space="preserve">Etapa 1 — Instalación y verificación del dataset MIMIC-IV v3.1.</w:t>
      </w:r>
    </w:p>
    <w:p>
      <w:pPr>
        <w:pStyle w:val="ListParagraph"/>
        <w:numPr>
          <w:ilvl w:val="0"/>
          <w:numId w:val="2"/>
        </w:numPr>
        <w:spacing w:after="60"/>
      </w:pPr>
      <w:r>
        <w:rPr>
          <w:rFonts w:ascii="Arial" w:cs="Arial" w:eastAsia="Arial" w:hAnsi="Arial"/>
          <w:sz w:val="22"/>
          <w:szCs w:val="22"/>
        </w:rPr>
        <w:t xml:space="preserve">Etapa 2 — Corrección de la base de datos del Anexo 2 desde la fuente oficial.</w:t>
      </w:r>
    </w:p>
    <w:p>
      <w:pPr>
        <w:pStyle w:val="ListParagraph"/>
        <w:numPr>
          <w:ilvl w:val="0"/>
          <w:numId w:val="2"/>
        </w:numPr>
        <w:spacing w:after="60"/>
      </w:pPr>
      <w:r>
        <w:rPr>
          <w:rFonts w:ascii="Arial" w:cs="Arial" w:eastAsia="Arial" w:hAnsi="Arial"/>
          <w:sz w:val="22"/>
          <w:szCs w:val="22"/>
        </w:rPr>
        <w:t xml:space="preserve">Etapa 3 — Construcción del puente automático entre las notas clínicas y el Anexo 2.</w:t>
      </w:r>
    </w:p>
    <w:p>
      <w:pPr>
        <w:pStyle w:val="ListParagraph"/>
        <w:numPr>
          <w:ilvl w:val="0"/>
          <w:numId w:val="2"/>
        </w:numPr>
        <w:spacing w:after="60"/>
      </w:pPr>
      <w:r>
        <w:rPr>
          <w:rFonts w:ascii="Arial" w:cs="Arial" w:eastAsia="Arial" w:hAnsi="Arial"/>
          <w:sz w:val="22"/>
          <w:szCs w:val="22"/>
        </w:rPr>
        <w:t xml:space="preserve">Etapa 4 — Validación experta de 20 detecciones.</w:t>
      </w:r>
    </w:p>
    <w:p>
      <w:pPr>
        <w:pStyle w:val="ListParagraph"/>
        <w:numPr>
          <w:ilvl w:val="0"/>
          <w:numId w:val="2"/>
        </w:numPr>
        <w:spacing w:after="60"/>
      </w:pPr>
      <w:r>
        <w:rPr>
          <w:rFonts w:ascii="Arial" w:cs="Arial" w:eastAsia="Arial" w:hAnsi="Arial"/>
          <w:sz w:val="22"/>
          <w:szCs w:val="22"/>
        </w:rPr>
        <w:t xml:space="preserve">Etapa 5 — Filtro de contexto NegEx (precisión 45 % → 77.8 %).</w:t>
      </w:r>
    </w:p>
    <w:p>
      <w:pPr>
        <w:pStyle w:val="ListParagraph"/>
        <w:numPr>
          <w:ilvl w:val="0"/>
          <w:numId w:val="2"/>
        </w:numPr>
        <w:spacing w:after="60"/>
      </w:pPr>
      <w:r>
        <w:rPr>
          <w:rFonts w:ascii="Arial" w:cs="Arial" w:eastAsia="Arial" w:hAnsi="Arial"/>
          <w:sz w:val="22"/>
          <w:szCs w:val="22"/>
        </w:rPr>
        <w:t xml:space="preserve">Etapa 6 — Detector estructural de estancia prolongada (id_evento 1007).</w:t>
      </w:r>
    </w:p>
    <w:p>
      <w:pPr>
        <w:pStyle w:val="ListParagraph"/>
        <w:numPr>
          <w:ilvl w:val="0"/>
          <w:numId w:val="2"/>
        </w:numPr>
        <w:spacing w:after="60"/>
      </w:pPr>
      <w:r>
        <w:rPr>
          <w:rFonts w:ascii="Arial" w:cs="Arial" w:eastAsia="Arial" w:hAnsi="Arial"/>
          <w:sz w:val="22"/>
          <w:szCs w:val="22"/>
        </w:rPr>
        <w:t xml:space="preserve">Etapa 7 — Matriz GEMSES integrada con Impacto oficial de la directiva.</w:t>
      </w:r>
    </w:p>
    <w:p>
      <w:pPr>
        <w:pStyle w:val="ListParagraph"/>
        <w:numPr>
          <w:ilvl w:val="0"/>
          <w:numId w:val="2"/>
        </w:numPr>
        <w:spacing w:after="60"/>
      </w:pPr>
      <w:r>
        <w:rPr>
          <w:rFonts w:ascii="Arial" w:cs="Arial" w:eastAsia="Arial" w:hAnsi="Arial"/>
          <w:sz w:val="22"/>
          <w:szCs w:val="22"/>
        </w:rPr>
        <w:t xml:space="preserve">Etapa 8 — Cuantificación operacional: cruzamiento NLP × Estancia prolongada.</w:t>
      </w:r>
    </w:p>
    <w:p>
      <w:r>
        <w:br w:type="page"/>
      </w:r>
    </w:p>
    <w:p>
      <w:pPr>
        <w:pStyle w:val="Heading1"/>
      </w:pPr>
      <w:r>
        <w:rPr>
          <w:rFonts w:ascii="Arial" w:cs="Arial" w:eastAsia="Arial" w:hAnsi="Arial"/>
        </w:rPr>
        <w:t xml:space="preserve">2. Estado inicial del proyecto</w:t>
      </w:r>
    </w:p>
    <w:p>
      <w:pPr>
        <w:shd w:fill="F2F2F2" w:val="clear"/>
        <w:spacing w:after="0" w:before="0"/>
      </w:pPr>
      <w:r>
        <w:rPr>
          <w:rFonts w:ascii="Consolas" w:cs="Consolas" w:eastAsia="Consolas" w:hAnsi="Consolas"/>
          <w:sz w:val="16"/>
          <w:szCs w:val="16"/>
        </w:rPr>
        <w:t xml:space="preserve">ANTES                                  DESPUES</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C:\MIMIC\                               C:\MIMIC\</w:t>
      </w:r>
    </w:p>
    <w:p>
      <w:pPr>
        <w:shd w:fill="F2F2F2" w:val="clear"/>
        <w:spacing w:after="0" w:before="0"/>
      </w:pPr>
      <w:r>
        <w:rPr>
          <w:rFonts w:ascii="Consolas" w:cs="Consolas" w:eastAsia="Consolas" w:hAnsi="Consolas"/>
          <w:sz w:val="16"/>
          <w:szCs w:val="16"/>
        </w:rPr>
        <w:t xml:space="preserve">  +- note\                                +- mimiciv\        &lt;- NUEVO</w:t>
      </w:r>
    </w:p>
    <w:p>
      <w:pPr>
        <w:shd w:fill="F2F2F2" w:val="clear"/>
        <w:spacing w:after="0" w:before="0"/>
      </w:pPr>
      <w:r>
        <w:rPr>
          <w:rFonts w:ascii="Consolas" w:cs="Consolas" w:eastAsia="Consolas" w:hAnsi="Consolas"/>
          <w:sz w:val="16"/>
          <w:szCs w:val="16"/>
        </w:rPr>
        <w:t xml:space="preserve">      +- mimic-iv-3.1.zip (cerrado)        |   +- hosp\  (22 archivos)</w:t>
      </w:r>
    </w:p>
    <w:p>
      <w:pPr>
        <w:shd w:fill="F2F2F2" w:val="clear"/>
        <w:spacing w:after="0" w:before="0"/>
      </w:pPr>
      <w:r>
        <w:rPr>
          <w:rFonts w:ascii="Consolas" w:cs="Consolas" w:eastAsia="Consolas" w:hAnsi="Consolas"/>
          <w:sz w:val="16"/>
          <w:szCs w:val="16"/>
        </w:rPr>
        <w:t xml:space="preserve">      +- note\  (ya extraido)              |   +- icu\   (9 archivos)</w:t>
      </w:r>
    </w:p>
    <w:p>
      <w:pPr>
        <w:shd w:fill="F2F2F2" w:val="clear"/>
        <w:spacing w:after="0" w:before="0"/>
      </w:pPr>
      <w:r>
        <w:rPr>
          <w:rFonts w:ascii="Consolas" w:cs="Consolas" w:eastAsia="Consolas" w:hAnsi="Consolas"/>
          <w:sz w:val="16"/>
          <w:szCs w:val="16"/>
        </w:rPr>
        <w:t xml:space="preserve">                                           +- note\note\  (4 archivos)</w:t>
      </w:r>
    </w:p>
    <w:p>
      <w:pPr>
        <w:shd w:fill="F2F2F2" w:val="clear"/>
        <w:spacing w:after="0" w:before="0"/>
      </w:pPr>
      <w:r>
        <w:rPr>
          <w:rFonts w:ascii="Consolas" w:cs="Consolas" w:eastAsia="Consolas" w:hAnsi="Consolas"/>
          <w:sz w:val="16"/>
          <w:szCs w:val="16"/>
        </w:rPr>
        <w:t xml:space="preserve">                                           +- tesis\   (repositorio)</w:t>
      </w:r>
    </w:p>
    <w:p>
      <w:r>
        <w:br w:type="page"/>
      </w:r>
    </w:p>
    <w:p>
      <w:pPr>
        <w:pStyle w:val="Heading1"/>
      </w:pPr>
      <w:r>
        <w:rPr>
          <w:rFonts w:ascii="Arial" w:cs="Arial" w:eastAsia="Arial" w:hAnsi="Arial"/>
        </w:rPr>
        <w:t xml:space="preserve">3. Etapa 1 — Instalación y verificación de MIMIC-IV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Revisión del contenido descargado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 ZIPs + notas extraídas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Descompresión de mimic-iv-3.1.zip (10.3 GB)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 archivos: 22 hosp + 9 icu</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Renombrado a 'mimiciv'</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 con ruta esperada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SHA-256</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33/33 íntegros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de exploración inicial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 11 vistas</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Hallazgo: 331,793 epicrisis de 145,914 pacientes; longitud media ~10,500 chars; 99.86 % requiere segmentación para BioBERT.</w:t>
      </w:r>
    </w:p>
    <w:p>
      <w:r>
        <w:br w:type="page"/>
      </w:r>
    </w:p>
    <w:p>
      <w:pPr>
        <w:pStyle w:val="Heading1"/>
      </w:pPr>
      <w:r>
        <w:rPr>
          <w:rFonts w:ascii="Arial" w:cs="Arial" w:eastAsia="Arial" w:hAnsi="Arial"/>
        </w:rPr>
        <w:t xml:space="preserve">4. Etapa 2 — Corrección de la base de datos del Anexo 2</w:t>
      </w:r>
    </w:p>
    <w:p>
      <w:pPr>
        <w:pStyle w:val="Heading2"/>
      </w:pPr>
      <w:r>
        <w:rPr>
          <w:rFonts w:ascii="Arial" w:cs="Arial" w:eastAsia="Arial" w:hAnsi="Arial"/>
        </w:rPr>
        <w:t xml:space="preserve">4.1 Problemas encontrados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5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Problema</w:t>
            </w:r>
          </w:p>
        </w:tc>
        <w:tc>
          <w:tcPr>
            <w:tcW w:type="dxa" w:w="3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Gravedad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PDF de la Directiva 100 % corrupto</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Dos versiones contradictorias del Anexo 2</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Codificación del CSV rota</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w:t>
            </w:r>
          </w:p>
        </w:tc>
        <w:tc>
          <w:tcPr>
            <w:tcW w:type="dxa" w:w="55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Naturaleza Infección partida en 5 variantes</w:t>
            </w:r>
          </w:p>
        </w:tc>
        <w:tc>
          <w:tcPr>
            <w:tcW w:type="dxa" w:w="3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 eventos con Impacto que no cuadra con fórmula GEMSES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Observación</w:t>
            </w:r>
          </w:p>
        </w:tc>
      </w:tr>
    </w:tbl>
    <w:p>
      <w:r>
        <w:rPr>
          <w:rFonts w:ascii="Arial" w:cs="Arial" w:eastAsia="Arial" w:hAnsi="Arial"/>
          <w:sz w:val="12"/>
          <w:szCs w:val="12"/>
        </w:rPr>
        <w:t xml:space="preserve"> </w:t>
      </w:r>
    </w:p>
    <w:p>
      <w:pPr>
        <w:pStyle w:val="Heading2"/>
      </w:pPr>
      <w:r>
        <w:rPr>
          <w:rFonts w:ascii="Arial" w:cs="Arial" w:eastAsia="Arial" w:hAnsi="Arial"/>
        </w:rPr>
        <w:t xml:space="preserve">4.2 Acciones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Entrega de Directiva ERSP - Anexo 2.xlsx</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Fuente de verdad</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Verificación de la fórmula</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Pesos 0.40 / 0.20 / 0.15 / 0.20</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Regeneración del CSV desde el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231 eventos, UTF-8</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Normalización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 variantes -&gt; 1</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Trazabilidad</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Columnas impacto, impacto_formula, verificacion</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Carga en gemses.db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Archivado de versión no oficial</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processed/_descartado/</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Sobre los 33 eventos REVISAR: el análisis usa el valor de Impacto tal cual aparece en la directiva oficial. La discrepancia se documenta como observación, sin propagarse al cálculo.</w:t>
      </w:r>
    </w:p>
    <w:p>
      <w:r>
        <w:br w:type="page"/>
      </w:r>
    </w:p>
    <w:p>
      <w:pPr>
        <w:pStyle w:val="Heading1"/>
      </w:pPr>
      <w:r>
        <w:rPr>
          <w:rFonts w:ascii="Arial" w:cs="Arial" w:eastAsia="Arial" w:hAnsi="Arial"/>
        </w:rPr>
        <w:t xml:space="preserve">5. Etapa 3 — Construcción del puente MIMIC ↔ Anexo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mapeo_anexo2_ingles.json (v0.2)</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 eventos -&gt; 186 patrones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 fase2_deteccion_anexo2.ipynb</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MIMIC + gemses.db + GEMSES</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Ejecución de extremo a extremo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errores</w:t>
            </w:r>
          </w:p>
        </w:tc>
      </w:tr>
    </w:tbl>
    <w:p>
      <w:r>
        <w:rPr>
          <w:rFonts w:ascii="Arial" w:cs="Arial" w:eastAsia="Arial" w:hAnsi="Arial"/>
          <w:sz w:val="12"/>
          <w:szCs w:val="12"/>
        </w:rPr>
        <w:t xml:space="preserve"> </w:t>
      </w:r>
    </w:p>
    <w:p>
      <w:pPr>
        <w:pStyle w:val="ListParagraph"/>
        <w:numPr>
          <w:ilvl w:val="0"/>
          <w:numId w:val="2"/>
        </w:numPr>
        <w:spacing w:after="60"/>
      </w:pPr>
      <w:r>
        <w:rPr>
          <w:rFonts w:ascii="Arial" w:cs="Arial" w:eastAsia="Arial" w:hAnsi="Arial"/>
          <w:sz w:val="22"/>
          <w:szCs w:val="22"/>
        </w:rPr>
        <w:t xml:space="preserve">1,358 notas (67.9 %) con al menos un evento detectado.</w:t>
      </w:r>
    </w:p>
    <w:p>
      <w:pPr>
        <w:pStyle w:val="ListParagraph"/>
        <w:numPr>
          <w:ilvl w:val="0"/>
          <w:numId w:val="2"/>
        </w:numPr>
        <w:spacing w:after="60"/>
      </w:pPr>
      <w:r>
        <w:rPr>
          <w:rFonts w:ascii="Arial" w:cs="Arial" w:eastAsia="Arial" w:hAnsi="Arial"/>
          <w:sz w:val="22"/>
          <w:szCs w:val="22"/>
        </w:rPr>
        <w:t xml:space="preserve">2,500 detecciones, 35 tipos de evento.</w:t>
      </w:r>
    </w:p>
    <w:p>
      <w:pPr>
        <w:pStyle w:val="ListParagraph"/>
        <w:numPr>
          <w:ilvl w:val="0"/>
          <w:numId w:val="2"/>
        </w:numPr>
        <w:spacing w:after="60"/>
      </w:pPr>
      <w:r>
        <w:rPr>
          <w:rFonts w:ascii="Arial" w:cs="Arial" w:eastAsia="Arial" w:hAnsi="Arial"/>
          <w:sz w:val="22"/>
          <w:szCs w:val="22"/>
        </w:rPr>
        <w:t xml:space="preserve">Limitación: el 67.9 % está inflado por falta de manejo de negación.</w:t>
      </w:r>
    </w:p>
    <w:p>
      <w:r>
        <w:br w:type="page"/>
      </w:r>
    </w:p>
    <w:p>
      <w:pPr>
        <w:pStyle w:val="Heading1"/>
      </w:pPr>
      <w:r>
        <w:rPr>
          <w:rFonts w:ascii="Arial" w:cs="Arial" w:eastAsia="Arial" w:hAnsi="Arial"/>
        </w:rPr>
        <w:t xml:space="preserve">6. Etapa 4 — Validación experta de 20 detecciones</w:t>
      </w:r>
    </w:p>
    <w:p>
      <w:pPr>
        <w:spacing w:after="120"/>
      </w:pPr>
      <w:r>
        <w:rPr>
          <w:rFonts w:ascii="Arial" w:cs="Arial" w:eastAsia="Arial" w:hAnsi="Arial"/>
          <w:sz w:val="22"/>
          <w:szCs w:val="22"/>
        </w:rPr>
        <w:t xml:space="preserve">Carlos llenó el CSV el 17/05/2026 en su rol de experto en gestión de calidad de EsSalud.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00"/>
        <w:gridCol w:w="4440"/>
      </w:tblGrid>
      <w:tr>
        <w:tc>
          <w:tcPr>
            <w:tcW w:type="dxa" w:w="5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Paso</w:t>
            </w:r>
          </w:p>
        </w:tc>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Acción</w:t>
            </w:r>
          </w:p>
        </w:tc>
        <w:tc>
          <w:tcPr>
            <w:tcW w:type="dxa" w:w="44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Resultado</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Selección estratificada de 20 detecciones</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Mezcla alta/media/baja</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Extracción del fragmento (±350 chars)</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Del campo discharge.text</w:t>
            </w:r>
          </w:p>
        </w:tc>
      </w:tr>
      <w:tr>
        <w:tc>
          <w:tcPr>
            <w:tcW w:type="dxa" w:w="5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Traducción al castellano</w:t>
            </w:r>
          </w:p>
        </w:tc>
        <w:tc>
          <w:tcPr>
            <w:tcW w:type="dxa" w:w="44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Columna fragmento_es</w:t>
            </w:r>
          </w:p>
        </w:tc>
      </w:tr>
      <w:tr>
        <w:tc>
          <w:tcPr>
            <w:tcW w:type="dxa" w:w="5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4.4</w:t>
            </w:r>
          </w:p>
        </w:tc>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Generación del CSV de validación</w:t>
            </w:r>
          </w:p>
        </w:tc>
        <w:tc>
          <w:tcPr>
            <w:tcW w:type="dxa" w:w="44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Listo para el experto</w:t>
            </w:r>
          </w:p>
        </w:tc>
      </w:tr>
    </w:tbl>
    <w:p>
      <w:r>
        <w:br w:type="page"/>
      </w:r>
    </w:p>
    <w:p>
      <w:pPr>
        <w:pStyle w:val="Heading1"/>
      </w:pPr>
      <w:r>
        <w:rPr>
          <w:rFonts w:ascii="Arial" w:cs="Arial" w:eastAsia="Arial" w:hAnsi="Arial"/>
        </w:rPr>
        <w:t xml:space="preserve">7. Esquemas del proyecto</w:t>
      </w:r>
    </w:p>
    <w:p>
      <w:pPr>
        <w:pStyle w:val="Heading2"/>
      </w:pPr>
      <w:r>
        <w:rPr>
          <w:rFonts w:ascii="Arial" w:cs="Arial" w:eastAsia="Arial" w:hAnsi="Arial"/>
        </w:rPr>
        <w:t xml:space="preserve">7.1 Pipeline integrado</w:t>
      </w:r>
    </w:p>
    <w:p>
      <w:pPr>
        <w:shd w:fill="F2F2F2" w:val="clear"/>
        <w:spacing w:after="0" w:before="0"/>
      </w:pPr>
      <w:r>
        <w:rPr>
          <w:rFonts w:ascii="Consolas" w:cs="Consolas" w:eastAsia="Consolas" w:hAnsi="Consolas"/>
          <w:sz w:val="16"/>
          <w:szCs w:val="16"/>
        </w:rPr>
        <w:t xml:space="preserve">     FUENTE 1: MIMIC notes               FUENTE 2: Anexo 2 (directiva)</w:t>
      </w:r>
    </w:p>
    <w:p>
      <w:pPr>
        <w:shd w:fill="F2F2F2" w:val="clear"/>
        <w:spacing w:after="0" w:before="0"/>
      </w:pPr>
      <w:r>
        <w:rPr>
          <w:rFonts w:ascii="Consolas" w:cs="Consolas" w:eastAsia="Consolas" w:hAnsi="Consolas"/>
          <w:sz w:val="16"/>
          <w:szCs w:val="16"/>
        </w:rPr>
        <w:t xml:space="preserve">     discharge.text                       231 eventos con Impacto oficial</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3] reglas de palabras clave          |</w:t>
      </w:r>
    </w:p>
    <w:p>
      <w:pPr>
        <w:shd w:fill="F2F2F2" w:val="clear"/>
        <w:spacing w:after="0" w:before="0"/>
      </w:pPr>
      <w:r>
        <w:rPr>
          <w:rFonts w:ascii="Consolas" w:cs="Consolas" w:eastAsia="Consolas" w:hAnsi="Consolas"/>
          <w:sz w:val="16"/>
          <w:szCs w:val="16"/>
        </w:rPr>
        <w:t xml:space="preserve">     2,500 detecciones (precision 45%)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5] NegEx clasifica contexto          |</w:t>
      </w:r>
    </w:p>
    <w:p>
      <w:pPr>
        <w:shd w:fill="F2F2F2" w:val="clear"/>
        <w:spacing w:after="0" w:before="0"/>
      </w:pPr>
      <w:r>
        <w:rPr>
          <w:rFonts w:ascii="Consolas" w:cs="Consolas" w:eastAsia="Consolas" w:hAnsi="Consolas"/>
          <w:sz w:val="16"/>
          <w:szCs w:val="16"/>
        </w:rPr>
        <w:t xml:space="preserve">     filtrar: solo AFIRMADO (1,172)              |</w:t>
      </w:r>
    </w:p>
    <w:p>
      <w:pPr>
        <w:shd w:fill="F2F2F2" w:val="clear"/>
        <w:spacing w:after="0" w:before="0"/>
      </w:pPr>
      <w:r>
        <w:rPr>
          <w:rFonts w:ascii="Consolas" w:cs="Consolas" w:eastAsia="Consolas" w:hAnsi="Consolas"/>
          <w:sz w:val="16"/>
          <w:szCs w:val="16"/>
        </w:rPr>
        <w:t xml:space="preserve">     (precision 78%)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FUENTE 3: MIMIC structured  |</w:t>
      </w:r>
    </w:p>
    <w:p>
      <w:pPr>
        <w:shd w:fill="F2F2F2" w:val="clear"/>
        <w:spacing w:after="0" w:before="0"/>
      </w:pPr>
      <w:r>
        <w:rPr>
          <w:rFonts w:ascii="Consolas" w:cs="Consolas" w:eastAsia="Consolas" w:hAnsi="Consolas"/>
          <w:sz w:val="16"/>
          <w:szCs w:val="16"/>
        </w:rPr>
        <w:t xml:space="preserve">            |         admissions + drgcodes      |</w:t>
      </w:r>
    </w:p>
    <w:p>
      <w:pPr>
        <w:shd w:fill="F2F2F2" w:val="clear"/>
        <w:spacing w:after="0" w:before="0"/>
      </w:pPr>
      <w:r>
        <w:rPr>
          <w:rFonts w:ascii="Consolas" w:cs="Consolas" w:eastAsia="Consolas" w:hAnsi="Consolas"/>
          <w:sz w:val="16"/>
          <w:szCs w:val="16"/>
        </w:rPr>
        <w:t xml:space="preserve">            |              |                     |</w:t>
      </w:r>
    </w:p>
    <w:p>
      <w:pPr>
        <w:shd w:fill="F2F2F2" w:val="clear"/>
        <w:spacing w:after="0" w:before="0"/>
      </w:pPr>
      <w:r>
        <w:rPr>
          <w:rFonts w:ascii="Consolas" w:cs="Consolas" w:eastAsia="Consolas" w:hAnsi="Consolas"/>
          <w:sz w:val="16"/>
          <w:szCs w:val="16"/>
        </w:rPr>
        <w:t xml:space="preserve">            |        [Etapa 6] LOS vs P75-DRG    |</w:t>
      </w:r>
    </w:p>
    <w:p>
      <w:pPr>
        <w:shd w:fill="F2F2F2" w:val="clear"/>
        <w:spacing w:after="0" w:before="0"/>
      </w:pPr>
      <w:r>
        <w:rPr>
          <w:rFonts w:ascii="Consolas" w:cs="Consolas" w:eastAsia="Consolas" w:hAnsi="Consolas"/>
          <w:sz w:val="16"/>
          <w:szCs w:val="16"/>
        </w:rPr>
        <w:t xml:space="preserve">            |        327 estancias prolongadas   |</w:t>
      </w:r>
    </w:p>
    <w:p>
      <w:pPr>
        <w:shd w:fill="F2F2F2" w:val="clear"/>
        <w:spacing w:after="0" w:before="0"/>
      </w:pPr>
      <w:r>
        <w:rPr>
          <w:rFonts w:ascii="Consolas" w:cs="Consolas" w:eastAsia="Consolas" w:hAnsi="Consolas"/>
          <w:sz w:val="16"/>
          <w:szCs w:val="16"/>
        </w:rPr>
        <w:t xml:space="preserve">            |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[Etapa 7] integracion (1,499)        |</w:t>
      </w:r>
    </w:p>
    <w:p>
      <w:pPr>
        <w:shd w:fill="F2F2F2" w:val="clear"/>
        <w:spacing w:after="0" w:before="0"/>
      </w:pPr>
      <w:r>
        <w:rPr>
          <w:rFonts w:ascii="Consolas" w:cs="Consolas" w:eastAsia="Consolas" w:hAnsi="Consolas"/>
          <w:sz w:val="16"/>
          <w:szCs w:val="16"/>
        </w:rPr>
        <w:t xml:space="preserve">                  |                              |</w:t>
      </w:r>
    </w:p>
    <w:p>
      <w:pPr>
        <w:shd w:fill="F2F2F2" w:val="clear"/>
        <w:spacing w:after="0" w:before="0"/>
      </w:pPr>
      <w:r>
        <w:rPr>
          <w:rFonts w:ascii="Consolas" w:cs="Consolas" w:eastAsia="Consolas" w:hAnsi="Consolas"/>
          <w:sz w:val="16"/>
          <w:szCs w:val="16"/>
        </w:rPr>
        <w:t xml:space="preserve">                  +--- Impacto oficial &lt;---------+</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Matriz GEMSES integrada</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+---&gt; [Etapa 8] cruzamiento empirico</w:t>
      </w:r>
    </w:p>
    <w:p>
      <w:pPr>
        <w:shd w:fill="F2F2F2" w:val="clear"/>
        <w:spacing w:after="0" w:before="0"/>
      </w:pPr>
      <w:r>
        <w:rPr>
          <w:rFonts w:ascii="Consolas" w:cs="Consolas" w:eastAsia="Consolas" w:hAnsi="Consolas"/>
          <w:sz w:val="16"/>
          <w:szCs w:val="16"/>
        </w:rPr>
        <w:t xml:space="preserve">                  |     NLP × LOS prolongada (RR, riesgo atribuible)</w:t>
      </w:r>
    </w:p>
    <w:p>
      <w:pPr>
        <w:shd w:fill="F2F2F2" w:val="clear"/>
        <w:spacing w:after="0" w:before="0"/>
      </w:pPr>
      <w:r>
        <w:rPr>
          <w:rFonts w:ascii="Consolas" w:cs="Consolas" w:eastAsia="Consolas" w:hAnsi="Consolas"/>
          <w:sz w:val="16"/>
          <w:szCs w:val="16"/>
        </w:rPr>
        <w:t xml:space="preserve">                  v</w:t>
      </w:r>
    </w:p>
    <w:p>
      <w:pPr>
        <w:shd w:fill="F2F2F2" w:val="clear"/>
        <w:spacing w:after="0" w:before="0"/>
      </w:pPr>
      <w:r>
        <w:rPr>
          <w:rFonts w:ascii="Consolas" w:cs="Consolas" w:eastAsia="Consolas" w:hAnsi="Consolas"/>
          <w:sz w:val="16"/>
          <w:szCs w:val="16"/>
        </w:rPr>
        <w:t xml:space="preserve">        Verde / Amarillo / Rojo</w:t>
      </w:r>
    </w:p>
    <w:p>
      <w:r>
        <w:rPr>
          <w:rFonts w:ascii="Arial" w:cs="Arial" w:eastAsia="Arial" w:hAnsi="Arial"/>
          <w:sz w:val="12"/>
          <w:szCs w:val="12"/>
        </w:rPr>
        <w:t xml:space="preserve"> </w:t>
      </w:r>
    </w:p>
    <w:p>
      <w:pPr>
        <w:pStyle w:val="Heading2"/>
      </w:pPr>
      <w:r>
        <w:rPr>
          <w:rFonts w:ascii="Arial" w:cs="Arial" w:eastAsia="Arial" w:hAnsi="Arial"/>
        </w:rPr>
        <w:t xml:space="preserve">7.2 Flujo de cálculo de la Matriz GEMSES</w:t>
      </w:r>
    </w:p>
    <w:p>
      <w:pPr>
        <w:shd w:fill="F2F2F2" w:val="clear"/>
        <w:spacing w:after="0" w:before="0"/>
      </w:pPr>
      <w:r>
        <w:rPr>
          <w:rFonts w:ascii="Consolas" w:cs="Consolas" w:eastAsia="Consolas" w:hAnsi="Consolas"/>
          <w:sz w:val="16"/>
          <w:szCs w:val="16"/>
        </w:rPr>
        <w:t xml:space="preserve">B = A / sum(a)                       (Indice de Frecuencia)</w:t>
      </w:r>
    </w:p>
    <w:p>
      <w:pPr>
        <w:shd w:fill="F2F2F2" w:val="clear"/>
        <w:spacing w:after="0" w:before="0"/>
      </w:pPr>
      <w:r>
        <w:rPr>
          <w:rFonts w:ascii="Consolas" w:cs="Consolas" w:eastAsia="Consolas" w:hAnsi="Consolas"/>
          <w:sz w:val="16"/>
          <w:szCs w:val="16"/>
        </w:rPr>
        <w:t xml:space="preserve">G = valor del Anexo 2 (directiva)    (Impacto -- tal cual)</w:t>
      </w:r>
    </w:p>
    <w:p>
      <w:pPr>
        <w:shd w:fill="F2F2F2" w:val="clear"/>
        <w:spacing w:after="0" w:before="0"/>
      </w:pPr>
      <w:r>
        <w:rPr>
          <w:rFonts w:ascii="Consolas" w:cs="Consolas" w:eastAsia="Consolas" w:hAnsi="Consolas"/>
          <w:sz w:val="16"/>
          <w:szCs w:val="16"/>
        </w:rPr>
        <w:t xml:space="preserve">H = B * G                            (Riesgo)</w:t>
      </w:r>
    </w:p>
    <w:p>
      <w:pPr>
        <w:shd w:fill="F2F2F2" w:val="clear"/>
        <w:spacing w:after="0" w:before="0"/>
      </w:pPr>
      <w:r>
        <w:rPr>
          <w:rFonts w:ascii="Consolas" w:cs="Consolas" w:eastAsia="Consolas" w:hAnsi="Consolas"/>
          <w:sz w:val="16"/>
          <w:szCs w:val="16"/>
        </w:rPr>
        <w:t xml:space="preserve">I = H / sum(H)                       (Indice de Impacto)</w:t>
      </w:r>
    </w:p>
    <w:p>
      <w:pPr>
        <w:shd w:fill="F2F2F2" w:val="clear"/>
        <w:spacing w:after="0" w:before="0"/>
      </w:pPr>
      <w:r>
        <w:rPr>
          <w:rFonts w:ascii="Consolas" w:cs="Consolas" w:eastAsia="Consolas" w:hAnsi="Consolas"/>
          <w:sz w:val="16"/>
          <w:szCs w:val="16"/>
        </w:rPr>
        <w:t xml:space="preserve">J = I * 100                          (Nivel de Gestion)</w:t>
      </w:r>
    </w:p>
    <w:p>
      <w:pPr>
        <w:shd w:fill="F2F2F2" w:val="clear"/>
        <w:spacing w:after="0" w:before="0"/>
      </w:pPr>
      <w:r>
        <w:rPr>
          <w:rFonts w:ascii="Consolas" w:cs="Consolas" w:eastAsia="Consolas" w:hAnsi="Consolas"/>
          <w:sz w:val="16"/>
          <w:szCs w:val="16"/>
        </w:rPr>
        <w:t xml:space="preserve">   P25 -&gt; VERDE     P50 -&gt; AMARILLO     P75 -&gt; ROJO</w:t>
      </w:r>
    </w:p>
    <w:p>
      <w:r>
        <w:br w:type="page"/>
      </w:r>
    </w:p>
    <w:p>
      <w:pPr>
        <w:pStyle w:val="Heading1"/>
      </w:pPr>
      <w:r>
        <w:rPr>
          <w:rFonts w:ascii="Arial" w:cs="Arial" w:eastAsia="Arial" w:hAnsi="Arial"/>
        </w:rPr>
        <w:t xml:space="preserve">8. Estructura de archivos del proyecto</w:t>
      </w:r>
    </w:p>
    <w:p>
      <w:pPr>
        <w:pStyle w:val="Heading2"/>
      </w:pPr>
      <w:r>
        <w:rPr>
          <w:rFonts w:ascii="Arial" w:cs="Arial" w:eastAsia="Arial" w:hAnsi="Arial"/>
        </w:rPr>
        <w:t xml:space="preserve">8.1 En C:\BASE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processed/anexo2_eventos_adversos.csv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Anexo 2 corregido (oficial)</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db/gemses.db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Tabla anexo2_eventos_adversos</w:t>
            </w:r>
          </w:p>
        </w:tc>
      </w:tr>
    </w:tbl>
    <w:p>
      <w:r>
        <w:rPr>
          <w:rFonts w:ascii="Arial" w:cs="Arial" w:eastAsia="Arial" w:hAnsi="Arial"/>
          <w:sz w:val="12"/>
          <w:szCs w:val="12"/>
        </w:rPr>
        <w:t xml:space="preserve"> </w:t>
      </w:r>
    </w:p>
    <w:p>
      <w:pPr>
        <w:pStyle w:val="Heading2"/>
      </w:pPr>
      <w:r>
        <w:rPr>
          <w:rFonts w:ascii="Arial" w:cs="Arial" w:eastAsia="Arial" w:hAnsi="Arial"/>
        </w:rPr>
        <w:t xml:space="preserve">8.2 En C:\MIMIC\tesis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Archivo</w:t>
            </w:r>
          </w:p>
        </w:tc>
        <w:tc>
          <w:tcPr>
            <w:tcW w:type="dxa" w:w="5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notebooks/fase2_deteccion_anexo2.ipynb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Puente MIMIC ↔ Anexo 2 (Etapa 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notebooks/fase2_nlp_negacion.ipynb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Filtro NegEx (Etapa 5)</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notebooks/negex_clinical.py</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 v0.3 en Python puro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notebooks/mapeo_anexo2_ingles.json</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Diccionario ES↔EN (v0.2)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notebooks/fase3_estancia_prolongada.ipynb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Detector LOS-DRG (Etapa 6)</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notebooks/fase4_matriz_gemses_integrada.ipynb</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Integración (Etapa 7)</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fase2_detecciones_filtradas_negex.csv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Detecciones con columna contexto</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fase2_validacion_experta_20notas.csv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Set validado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fase3_estancia_prolongada_positivas.csv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95,651 hadm positivas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fase4_matriz_gemses_integrada.csv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Matriz final, Impacto oficial</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fase5_cruzamiento_hadm.csv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Cruzamiento NLP × LOS por hadm (Etapa 8)</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fase5_cruzamiento_naturaleza.csv</w:t>
            </w:r>
          </w:p>
        </w:tc>
        <w:tc>
          <w:tcPr>
            <w:tcW w:type="dxa" w:w="5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Agregado por naturaleza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fase5_cruzamiento_evento.csv</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Agregado por evento (n&gt;=10)</w:t>
            </w:r>
          </w:p>
        </w:tc>
      </w:tr>
    </w:tbl>
    <w:p>
      <w:r>
        <w:br w:type="page"/>
      </w:r>
    </w:p>
    <w:p>
      <w:pPr>
        <w:pStyle w:val="Heading1"/>
      </w:pPr>
      <w:r>
        <w:rPr>
          <w:rFonts w:ascii="Arial" w:cs="Arial" w:eastAsia="Arial" w:hAnsi="Arial"/>
        </w:rPr>
        <w:t xml:space="preserve">9. Roadmap y estado del proyecto</w:t>
      </w:r>
    </w:p>
    <w:p>
      <w:pPr>
        <w:shd w:fill="F2F2F2" w:val="clear"/>
        <w:spacing w:after="0" w:before="0"/>
      </w:pPr>
      <w:r>
        <w:rPr>
          <w:rFonts w:ascii="Consolas" w:cs="Consolas" w:eastAsia="Consolas" w:hAnsi="Consolas"/>
          <w:sz w:val="16"/>
          <w:szCs w:val="16"/>
        </w:rPr>
        <w:t xml:space="preserve">[OK ] Acceso PhysioNet + DUA firmado</w:t>
      </w:r>
    </w:p>
    <w:p>
      <w:pPr>
        <w:shd w:fill="F2F2F2" w:val="clear"/>
        <w:spacing w:after="0" w:before="0"/>
      </w:pPr>
      <w:r>
        <w:rPr>
          <w:rFonts w:ascii="Consolas" w:cs="Consolas" w:eastAsia="Consolas" w:hAnsi="Consolas"/>
          <w:sz w:val="16"/>
          <w:szCs w:val="16"/>
        </w:rPr>
        <w:t xml:space="preserve">[OK ] Datos descargados</w:t>
      </w:r>
    </w:p>
    <w:p>
      <w:pPr>
        <w:shd w:fill="F2F2F2" w:val="clear"/>
        <w:spacing w:after="0" w:before="0"/>
      </w:pPr>
      <w:r>
        <w:rPr>
          <w:rFonts w:ascii="Consolas" w:cs="Consolas" w:eastAsia="Consolas" w:hAnsi="Consolas"/>
          <w:sz w:val="16"/>
          <w:szCs w:val="16"/>
        </w:rPr>
        <w:t xml:space="preserve">[OK ] Datos instalados, verificados y conectados</w:t>
      </w:r>
    </w:p>
    <w:p>
      <w:pPr>
        <w:shd w:fill="F2F2F2" w:val="clear"/>
        <w:spacing w:after="0" w:before="0"/>
      </w:pPr>
      <w:r>
        <w:rPr>
          <w:rFonts w:ascii="Consolas" w:cs="Consolas" w:eastAsia="Consolas" w:hAnsi="Consolas"/>
          <w:sz w:val="16"/>
          <w:szCs w:val="16"/>
        </w:rPr>
        <w:t xml:space="preserve">[OK ] Anexo 2 corregido desde la directiva oficial</w:t>
      </w:r>
    </w:p>
    <w:p>
      <w:pPr>
        <w:shd w:fill="F2F2F2" w:val="clear"/>
        <w:spacing w:after="0" w:before="0"/>
      </w:pPr>
      <w:r>
        <w:rPr>
          <w:rFonts w:ascii="Consolas" w:cs="Consolas" w:eastAsia="Consolas" w:hAnsi="Consolas"/>
          <w:sz w:val="16"/>
          <w:szCs w:val="16"/>
        </w:rPr>
        <w:t xml:space="preserve">[OK ] Puente MIMIC &lt;-&gt; Anexo 2  (precision 45%)</w:t>
      </w:r>
    </w:p>
    <w:p>
      <w:pPr>
        <w:shd w:fill="F2F2F2" w:val="clear"/>
        <w:spacing w:after="0" w:before="0"/>
      </w:pPr>
      <w:r>
        <w:rPr>
          <w:rFonts w:ascii="Consolas" w:cs="Consolas" w:eastAsia="Consolas" w:hAnsi="Consolas"/>
          <w:sz w:val="16"/>
          <w:szCs w:val="16"/>
        </w:rPr>
        <w:t xml:space="preserve">[OK ] Validacion experta de 20 notas (17/05/2026)</w:t>
      </w:r>
    </w:p>
    <w:p>
      <w:pPr>
        <w:shd w:fill="F2F2F2" w:val="clear"/>
        <w:spacing w:after="0" w:before="0"/>
      </w:pPr>
      <w:r>
        <w:rPr>
          <w:rFonts w:ascii="Consolas" w:cs="Consolas" w:eastAsia="Consolas" w:hAnsi="Consolas"/>
          <w:sz w:val="16"/>
          <w:szCs w:val="16"/>
        </w:rPr>
        <w:t xml:space="preserve">[OK ] Filtro NegEx aplicado          (precision 78%)</w:t>
      </w:r>
    </w:p>
    <w:p>
      <w:pPr>
        <w:shd w:fill="F2F2F2" w:val="clear"/>
        <w:spacing w:after="0" w:before="0"/>
      </w:pPr>
      <w:r>
        <w:rPr>
          <w:rFonts w:ascii="Consolas" w:cs="Consolas" w:eastAsia="Consolas" w:hAnsi="Consolas"/>
          <w:sz w:val="16"/>
          <w:szCs w:val="16"/>
        </w:rPr>
        <w:t xml:space="preserve">[OK ] Detector estructural de estancia prolongada (id 1007)</w:t>
      </w:r>
    </w:p>
    <w:p>
      <w:pPr>
        <w:shd w:fill="F2F2F2" w:val="clear"/>
        <w:spacing w:after="0" w:before="0"/>
      </w:pPr>
      <w:r>
        <w:rPr>
          <w:rFonts w:ascii="Consolas" w:cs="Consolas" w:eastAsia="Consolas" w:hAnsi="Consolas"/>
          <w:sz w:val="16"/>
          <w:szCs w:val="16"/>
        </w:rPr>
        <w:t xml:space="preserve">[OK ] Matriz GEMSES integrada con Impacto oficial</w:t>
      </w:r>
    </w:p>
    <w:p>
      <w:pPr>
        <w:shd w:fill="F2F2F2" w:val="clear"/>
        <w:spacing w:after="0" w:before="0"/>
      </w:pPr>
      <w:r>
        <w:rPr>
          <w:rFonts w:ascii="Consolas" w:cs="Consolas" w:eastAsia="Consolas" w:hAnsi="Consolas"/>
          <w:sz w:val="16"/>
          <w:szCs w:val="16"/>
        </w:rPr>
        <w:t xml:space="preserve">[OK ] Cuantificacion operacional: cruzamiento NLP x LOS (RR=1.49)</w:t>
      </w:r>
    </w:p>
    <w:p>
      <w:pPr>
        <w:shd w:fill="F2F2F2" w:val="clear"/>
        <w:spacing w:after="0" w:before="0"/>
      </w:pPr>
      <w:r>
        <w:rPr>
          <w:rFonts w:ascii="Consolas" w:cs="Consolas" w:eastAsia="Consolas" w:hAnsi="Consolas"/>
          <w:sz w:val="16"/>
          <w:szCs w:val="16"/>
        </w:rPr>
        <w:t xml:space="preserve">[&gt;&gt; ] Validacion experta ampliada (50-100 notas)  (siguiente)</w:t>
      </w:r>
    </w:p>
    <w:p>
      <w:pPr>
        <w:shd w:fill="F2F2F2" w:val="clear"/>
        <w:spacing w:after="0" w:before="0"/>
      </w:pPr>
      <w:r>
        <w:rPr>
          <w:rFonts w:ascii="Consolas" w:cs="Consolas" w:eastAsia="Consolas" w:hAnsi="Consolas"/>
          <w:sz w:val="16"/>
          <w:szCs w:val="16"/>
        </w:rPr>
        <w:t xml:space="preserve">[   ] BioBERT/ClinicalBERT con GPU   (FP semanticos)</w:t>
      </w:r>
    </w:p>
    <w:p>
      <w:pPr>
        <w:shd w:fill="F2F2F2" w:val="clear"/>
        <w:spacing w:after="0" w:before="0"/>
      </w:pPr>
      <w:r>
        <w:rPr>
          <w:rFonts w:ascii="Consolas" w:cs="Consolas" w:eastAsia="Consolas" w:hAnsi="Consolas"/>
          <w:sz w:val="16"/>
          <w:szCs w:val="16"/>
        </w:rPr>
        <w:t xml:space="preserve">[   ] Fase 1: corpus etiquetado 5,000 notas</w:t>
      </w:r>
    </w:p>
    <w:p>
      <w:pPr>
        <w:shd w:fill="F2F2F2" w:val="clear"/>
        <w:spacing w:after="0" w:before="0"/>
      </w:pPr>
      <w:r>
        <w:rPr>
          <w:rFonts w:ascii="Consolas" w:cs="Consolas" w:eastAsia="Consolas" w:hAnsi="Consolas"/>
          <w:sz w:val="16"/>
          <w:szCs w:val="16"/>
        </w:rPr>
        <w:t xml:space="preserve">[   ] Fases siguientes: multimodal, panel experto, castellano</w:t>
      </w:r>
    </w:p>
    <w:p>
      <w:r>
        <w:br w:type="page"/>
      </w:r>
    </w:p>
    <w:p>
      <w:pPr>
        <w:pStyle w:val="Heading1"/>
      </w:pPr>
      <w:r>
        <w:rPr>
          <w:rFonts w:ascii="Arial" w:cs="Arial" w:eastAsia="Arial" w:hAnsi="Arial"/>
        </w:rPr>
        <w:t xml:space="preserve">10. Puntos pendientes y decisiones</w:t>
      </w:r>
    </w:p>
    <w:p>
      <w:pPr>
        <w:pStyle w:val="ListParagraph"/>
        <w:numPr>
          <w:ilvl w:val="0"/>
          <w:numId w:val="2"/>
        </w:numPr>
        <w:spacing w:after="60"/>
      </w:pPr>
      <w:r>
        <w:rPr>
          <w:rFonts w:ascii="Arial" w:cs="Arial" w:eastAsia="Arial" w:hAnsi="Arial"/>
          <w:sz w:val="22"/>
          <w:szCs w:val="22"/>
        </w:rPr>
        <w:t xml:space="preserve">Validación ampliada a 50-100 notas (intervalos de confianza estables).</w:t>
      </w:r>
    </w:p>
    <w:p>
      <w:pPr>
        <w:pStyle w:val="ListParagraph"/>
        <w:numPr>
          <w:ilvl w:val="0"/>
          <w:numId w:val="2"/>
        </w:numPr>
        <w:spacing w:after="60"/>
      </w:pPr>
      <w:r>
        <w:rPr>
          <w:rFonts w:ascii="Arial" w:cs="Arial" w:eastAsia="Arial" w:hAnsi="Arial"/>
          <w:sz w:val="22"/>
          <w:szCs w:val="22"/>
        </w:rPr>
        <w:t xml:space="preserve">Solicitar entorno GPU para BioBERT (FP semánticos que NegEx no captura).</w:t>
      </w:r>
    </w:p>
    <w:p>
      <w:pPr>
        <w:pStyle w:val="ListParagraph"/>
        <w:numPr>
          <w:ilvl w:val="0"/>
          <w:numId w:val="2"/>
        </w:numPr>
        <w:spacing w:after="60"/>
      </w:pPr>
      <w:r>
        <w:rPr>
          <w:rFonts w:ascii="Arial" w:cs="Arial" w:eastAsia="Arial" w:hAnsi="Arial"/>
          <w:sz w:val="22"/>
          <w:szCs w:val="22"/>
        </w:rPr>
        <w:t xml:space="preserve">Reportar a EsSalud los 33 eventos del Anexo 2 con Impacto inconsistente, como observación.</w:t>
      </w:r>
    </w:p>
    <w:p>
      <w:pPr>
        <w:pStyle w:val="ListParagraph"/>
        <w:numPr>
          <w:ilvl w:val="0"/>
          <w:numId w:val="2"/>
        </w:numPr>
        <w:spacing w:after="60"/>
      </w:pPr>
      <w:r>
        <w:rPr>
          <w:rFonts w:ascii="Arial" w:cs="Arial" w:eastAsia="Arial" w:hAnsi="Arial"/>
          <w:sz w:val="22"/>
          <w:szCs w:val="22"/>
        </w:rPr>
        <w:t xml:space="preserve">Power BI: reapuntar al CSV corregido si existe tablero conectado.</w:t>
      </w:r>
    </w:p>
    <w:p>
      <w:pPr>
        <w:pStyle w:val="ListParagraph"/>
        <w:numPr>
          <w:ilvl w:val="0"/>
          <w:numId w:val="2"/>
        </w:numPr>
        <w:spacing w:after="60"/>
      </w:pPr>
      <w:r>
        <w:rPr>
          <w:rFonts w:ascii="Arial" w:cs="Arial" w:eastAsia="Arial" w:hAnsi="Arial"/>
          <w:sz w:val="22"/>
          <w:szCs w:val="22"/>
        </w:rPr>
        <w:t xml:space="preserve">Reemplazar el PDF corrupto de la Directiva por una copia válida.</w:t>
      </w:r>
    </w:p>
    <w:p>
      <w:pPr>
        <w:pStyle w:val="ListParagraph"/>
        <w:numPr>
          <w:ilvl w:val="0"/>
          <w:numId w:val="2"/>
        </w:numPr>
        <w:spacing w:after="60"/>
      </w:pPr>
      <w:r>
        <w:rPr>
          <w:rFonts w:ascii="Arial" w:cs="Arial" w:eastAsia="Arial" w:hAnsi="Arial"/>
          <w:sz w:val="22"/>
          <w:szCs w:val="22"/>
        </w:rPr>
        <w:t xml:space="preserve">Reclasificar AMA: no tiene id_evento exacto en el Anexo 2.</w:t>
      </w:r>
    </w:p>
    <w:p>
      <w:r>
        <w:br w:type="page"/>
      </w:r>
    </w:p>
    <w:p>
      <w:pPr>
        <w:pStyle w:val="Heading1"/>
      </w:pPr>
      <w:r>
        <w:rPr>
          <w:rFonts w:ascii="Arial" w:cs="Arial" w:eastAsia="Arial" w:hAnsi="Arial"/>
        </w:rPr>
        <w:t xml:space="preserve">11. Resultados de la validación experta (17/05/2026)</w:t>
      </w:r>
    </w:p>
    <w:p>
      <w:pPr>
        <w:pStyle w:val="Heading2"/>
      </w:pPr>
      <w:r>
        <w:rPr>
          <w:rFonts w:ascii="Arial" w:cs="Arial" w:eastAsia="Arial" w:hAnsi="Arial"/>
        </w:rPr>
        <w:t xml:space="preserve">11.1 Precisión inicial</w:t>
      </w:r>
    </w:p>
    <w:p>
      <w:pPr>
        <w:shd w:fill="F2F2F2" w:val="clear"/>
        <w:spacing w:after="0" w:before="0"/>
      </w:pPr>
      <w:r>
        <w:rPr>
          <w:rFonts w:ascii="Consolas" w:cs="Consolas" w:eastAsia="Consolas" w:hAnsi="Consolas"/>
          <w:sz w:val="16"/>
          <w:szCs w:val="16"/>
        </w:rPr>
        <w:t xml:space="preserve">   VERDADEROS POSITIVOS   :  9</w:t>
      </w:r>
    </w:p>
    <w:p>
      <w:pPr>
        <w:shd w:fill="F2F2F2" w:val="clear"/>
        <w:spacing w:after="0" w:before="0"/>
      </w:pPr>
      <w:r>
        <w:rPr>
          <w:rFonts w:ascii="Consolas" w:cs="Consolas" w:eastAsia="Consolas" w:hAnsi="Consolas"/>
          <w:sz w:val="16"/>
          <w:szCs w:val="16"/>
        </w:rPr>
        <w:t xml:space="preserve">   FALSOS POSITIVOS       : 11</w:t>
      </w:r>
    </w:p>
    <w:p>
      <w:pPr>
        <w:shd w:fill="F2F2F2" w:val="clear"/>
        <w:spacing w:after="0" w:before="0"/>
      </w:pPr>
      <w:r>
        <w:rPr>
          <w:rFonts w:ascii="Consolas" w:cs="Consolas" w:eastAsia="Consolas" w:hAnsi="Consolas"/>
          <w:sz w:val="16"/>
          <w:szCs w:val="16"/>
        </w:rPr>
        <w:t xml:space="preserve">   PRECISION              : 45.0 %</w:t>
      </w:r>
    </w:p>
    <w:p>
      <w:r>
        <w:rPr>
          <w:rFonts w:ascii="Arial" w:cs="Arial" w:eastAsia="Arial" w:hAnsi="Arial"/>
          <w:sz w:val="12"/>
          <w:szCs w:val="12"/>
        </w:rPr>
        <w:t xml:space="preserve"> </w:t>
      </w:r>
    </w:p>
    <w:p>
      <w:pPr>
        <w:pStyle w:val="Heading2"/>
      </w:pPr>
      <w:r>
        <w:rPr>
          <w:rFonts w:ascii="Arial" w:cs="Arial" w:eastAsia="Arial" w:hAnsi="Arial"/>
        </w:rPr>
        <w:t xml:space="preserve">11.2 Análisis de los 11 falsos positivos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700"/>
        <w:gridCol w:w="44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Tipo de error</w:t>
            </w:r>
          </w:p>
        </w:tc>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Ejemplo</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Negación</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n8, n10, n13</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No es de esta hospitalización</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n4 donante ABO, n12 admisión previa</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Antecedente familiar</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n11 peritonitis del padre</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 de ingreso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n18 hepatitis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 o mención de guía</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n5 endocarditis</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Hipotético / descartado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 etiología improbable</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Coincidencia casual</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n9 steri-strips will fall off</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Mapeo conceptualmente incorrecto</w:t>
            </w:r>
          </w:p>
        </w:tc>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4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n16 AMA ≠ Vagabundeo</w:t>
            </w:r>
          </w:p>
        </w:tc>
      </w:tr>
    </w:tbl>
    <w:p>
      <w:r>
        <w:br w:type="page"/>
      </w:r>
    </w:p>
    <w:p>
      <w:pPr>
        <w:pStyle w:val="Heading1"/>
      </w:pPr>
      <w:r>
        <w:rPr>
          <w:rFonts w:ascii="Arial" w:cs="Arial" w:eastAsia="Arial" w:hAnsi="Arial"/>
        </w:rPr>
        <w:t xml:space="preserve">12. Etapa 5 — Filtro de contexto con NegEx</w:t>
      </w:r>
    </w:p>
    <w:p>
      <w:pPr>
        <w:spacing w:after="120"/>
      </w:pPr>
      <w:r>
        <w:rPr>
          <w:rFonts w:ascii="Arial" w:cs="Arial" w:eastAsia="Arial" w:hAnsi="Arial"/>
          <w:sz w:val="22"/>
          <w:szCs w:val="22"/>
        </w:rPr>
        <w:t xml:space="preserve">Implementación NegEx (Chapman et al., 2001) en Python puro. La v0.3 final conserva NegEx clásico con tres mejoras quirúrgicas.</w:t>
      </w:r>
    </w:p>
    <w:p>
      <w:pPr>
        <w:pStyle w:val="Heading2"/>
      </w:pPr>
      <w:r>
        <w:rPr>
          <w:rFonts w:ascii="Arial" w:cs="Arial" w:eastAsia="Arial" w:hAnsi="Arial"/>
        </w:rPr>
        <w:t xml:space="preserve">12.1 Distribución del contexto en 2,500 detecciones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Categoría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Cantidad</w:t>
            </w:r>
          </w:p>
        </w:tc>
        <w:tc>
          <w:tcPr>
            <w:tcW w:type="dxa" w:w="4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del total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AFIRMADO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46.9 %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NEGADO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22.8 %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HISTORICO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319</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HIPOTETICO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217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PROFILAXIS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114</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MOTIVO_INGRESO</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87</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3.5 %</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FAMILIAR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w:t>
            </w:r>
          </w:p>
        </w:tc>
        <w:tc>
          <w:tcPr>
            <w:tcW w:type="dxa" w:w="4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0.8 %</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SEMANTICO_DONANTE</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w:t>
            </w:r>
          </w:p>
        </w:tc>
        <w:tc>
          <w:tcPr>
            <w:tcW w:type="dxa" w:w="40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0.0 %</w:t>
            </w:r>
          </w:p>
        </w:tc>
      </w:tr>
    </w:tbl>
    <w:p>
      <w:r>
        <w:rPr>
          <w:rFonts w:ascii="Arial" w:cs="Arial" w:eastAsia="Arial" w:hAnsi="Arial"/>
          <w:sz w:val="12"/>
          <w:szCs w:val="12"/>
        </w:rPr>
        <w:t xml:space="preserve"> </w:t>
      </w:r>
    </w:p>
    <w:p>
      <w:pPr>
        <w:pStyle w:val="Heading2"/>
      </w:pPr>
      <w:r>
        <w:rPr>
          <w:rFonts w:ascii="Arial" w:cs="Arial" w:eastAsia="Arial" w:hAnsi="Arial"/>
        </w:rPr>
        <w:t xml:space="preserve">12.2 Mejora medida contra los 20 casos validados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Sin filtro</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NegEx v0.3</w:t>
            </w:r>
          </w:p>
        </w:tc>
        <w:tc>
          <w:tcPr>
            <w:tcW w:type="dxa" w:w="2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Mejora</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Precisión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45.0 %</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+32.8 pp</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Recall (VP conservados)</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100 %</w:t>
            </w:r>
          </w:p>
        </w:tc>
        <w:tc>
          <w:tcPr>
            <w:tcW w:type="dxa" w:w="18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77.8 %</w:t>
            </w:r>
          </w:p>
        </w:tc>
        <w:tc>
          <w:tcPr>
            <w:tcW w:type="dxa" w:w="22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−22.2 pp</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Falsos positivos restantes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w:t>
            </w:r>
          </w:p>
        </w:tc>
        <w:tc>
          <w:tcPr>
            <w:tcW w:type="dxa" w:w="22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w:t>
            </w:r>
          </w:p>
        </w:tc>
      </w:tr>
    </w:tbl>
    <w:p>
      <w:r>
        <w:br w:type="page"/>
      </w:r>
    </w:p>
    <w:p>
      <w:pPr>
        <w:pStyle w:val="Heading1"/>
      </w:pPr>
      <w:r>
        <w:rPr>
          <w:rFonts w:ascii="Arial" w:cs="Arial" w:eastAsia="Arial" w:hAnsi="Arial"/>
        </w:rPr>
        <w:t xml:space="preserve">13. Etapa 6 — Detector de Estancia Prolongada (id_evento 1007)</w:t>
      </w:r>
    </w:p>
    <w:p>
      <w:pPr>
        <w:spacing w:after="120"/>
      </w:pPr>
      <w:r>
        <w:rPr>
          <w:rFonts w:ascii="Arial" w:cs="Arial" w:eastAsia="Arial" w:hAnsi="Arial"/>
          <w:sz w:val="22"/>
          <w:szCs w:val="22"/>
        </w:rPr>
        <w:t xml:space="preserve">Estrategia DRG-P75: una hospitalización se marca como prolongada si su LOS supera el percentil 75 de la distribución de LOS dentro de su mismo grupo DRG.</w:t>
      </w:r>
    </w:p>
    <w:p>
      <w:pPr>
        <w:pStyle w:val="Heading2"/>
      </w:pPr>
      <w:r>
        <w:rPr>
          <w:rFonts w:ascii="Arial" w:cs="Arial" w:eastAsia="Arial" w:hAnsi="Arial"/>
        </w:rPr>
        <w:t xml:space="preserve">13.1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Métrica</w:t>
            </w:r>
          </w:p>
        </w:tc>
        <w:tc>
          <w:tcPr>
            <w:tcW w:type="dxa" w:w="4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Valor</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Cohorte evaluable</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382,299 hospitalizaciones (99.7 %)</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DRGs distintos evaluables (n&gt;=30)</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325 de 458</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Estancias prolongadas detectadas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95,651 (25 % del cohorte)</w:t>
            </w:r>
          </w:p>
        </w:tc>
      </w:tr>
      <w:tr>
        <w:tc>
          <w:tcPr>
            <w:tcW w:type="dxa" w:w="44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Exceso medio cuando ocurre</w:t>
            </w:r>
          </w:p>
        </w:tc>
        <w:tc>
          <w:tcPr>
            <w:tcW w:type="dxa" w:w="49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 días</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Confianza del detector</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ALTA (datos estructurados objetivos)</w:t>
            </w:r>
          </w:p>
        </w:tc>
      </w:tr>
    </w:tbl>
    <w:p>
      <w:r>
        <w:rPr>
          <w:rFonts w:ascii="Arial" w:cs="Arial" w:eastAsia="Arial" w:hAnsi="Arial"/>
          <w:sz w:val="12"/>
          <w:szCs w:val="12"/>
        </w:rPr>
        <w:t xml:space="preserve"> </w:t>
      </w:r>
    </w:p>
    <w:p>
      <w:pPr>
        <w:pStyle w:val="Heading2"/>
      </w:pPr>
      <w:r>
        <w:rPr>
          <w:rFonts w:ascii="Arial" w:cs="Arial" w:eastAsia="Arial" w:hAnsi="Arial"/>
        </w:rPr>
        <w:t xml:space="preserve">13.2 Top DRGs con más estancias prolongadas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DRG</w:t>
            </w:r>
          </w:p>
        </w:tc>
        <w:tc>
          <w:tcPr>
            <w:tcW w:type="dxa" w:w="5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Descripción</w:t>
            </w:r>
          </w:p>
        </w:tc>
        <w:tc>
          <w:tcPr>
            <w:tcW w:type="dxa" w:w="3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Casos prolongados</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560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Vaginal Delivery</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3,148</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194</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Heart Failure</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2,730</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720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Septicemia and Disseminated Infections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2,386</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540</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Cesarean Section</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1,716</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139</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Other Pneumonia</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1,509</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463</w:t>
            </w:r>
          </w:p>
        </w:tc>
        <w:tc>
          <w:tcPr>
            <w:tcW w:type="dxa" w:w="5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Kidney/Urinary Tract Infections</w:t>
            </w:r>
          </w:p>
        </w:tc>
        <w:tc>
          <w:tcPr>
            <w:tcW w:type="dxa" w:w="3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1,321</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383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Cellulitis and Other Skin Infections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1,245</w:t>
            </w:r>
          </w:p>
        </w:tc>
      </w:tr>
    </w:tbl>
    <w:p>
      <w:r>
        <w:br w:type="page"/>
      </w:r>
    </w:p>
    <w:p>
      <w:pPr>
        <w:pStyle w:val="Heading1"/>
      </w:pPr>
      <w:r>
        <w:rPr>
          <w:rFonts w:ascii="Arial" w:cs="Arial" w:eastAsia="Arial" w:hAnsi="Arial"/>
        </w:rPr>
        <w:t xml:space="preserve">14. Etapa 7 — Matriz GEMSES integrada con Impacto oficial</w:t>
      </w:r>
    </w:p>
    <w:p>
      <w:pPr>
        <w:pStyle w:val="Heading2"/>
      </w:pPr>
      <w:r>
        <w:rPr>
          <w:rFonts w:ascii="Arial" w:cs="Arial" w:eastAsia="Arial" w:hAnsi="Arial"/>
        </w:rPr>
        <w:t xml:space="preserve">14.1 Integración de las dos fuentes de detección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Fuente</w:t>
            </w:r>
          </w:p>
        </w:tc>
        <w:tc>
          <w:tcPr>
            <w:tcW w:type="dxa" w:w="5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Detecciones AFIRMADAS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NLP filtrado por NegEx (Etapa 5)</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1,172</w:t>
            </w:r>
          </w:p>
        </w:tc>
      </w:tr>
      <w:tr>
        <w:tc>
          <w:tcPr>
            <w:tcW w:type="dxa" w:w="35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LOS / DRG-P75 (Etapa 6)</w:t>
            </w:r>
          </w:p>
        </w:tc>
        <w:tc>
          <w:tcPr>
            <w:tcW w:type="dxa" w:w="58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TOTAL integrado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1,499</w:t>
            </w:r>
          </w:p>
        </w:tc>
      </w:tr>
    </w:tbl>
    <w:p>
      <w:r>
        <w:rPr>
          <w:rFonts w:ascii="Arial" w:cs="Arial" w:eastAsia="Arial" w:hAnsi="Arial"/>
          <w:sz w:val="12"/>
          <w:szCs w:val="12"/>
        </w:rPr>
        <w:t xml:space="preserve"> </w:t>
      </w:r>
    </w:p>
    <w:p>
      <w:pPr>
        <w:pStyle w:val="Heading2"/>
      </w:pPr>
      <w:r>
        <w:rPr>
          <w:rFonts w:ascii="Arial" w:cs="Arial" w:eastAsia="Arial" w:hAnsi="Arial"/>
        </w:rPr>
        <w:t xml:space="preserve">14.2 Top 10 eventos por Riesgo (H) — Matriz Integrada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200"/>
        <w:gridCol w:w="720"/>
        <w:gridCol w:w="600"/>
        <w:gridCol w:w="840"/>
      </w:tblGrid>
      <w:t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ID</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Evento</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Naturaleza</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Fuente</w:t>
            </w:r>
          </w:p>
        </w:tc>
        <w:tc>
          <w:tcPr>
            <w:tcW w:type="dxa" w:w="7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Frec</w:t>
            </w:r>
          </w:p>
        </w:tc>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w:t>
            </w:r>
          </w:p>
        </w:tc>
        <w:tc>
          <w:tcPr>
            <w:tcW w:type="dxa" w:w="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Nivel</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1007</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Estancia prolongada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GESTIÓN DE LA ORGANIZACIÓN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LOS_DRG</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327</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7.35</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tracto urinario</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195</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7031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 difficile asociada a antibióticos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MEDICACIÓN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88</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5.70</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8032</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Trombosis venosa</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PROCEDIMIENTO</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113</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Caída de paciente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CUIDADO DEL PACIENTE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250</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1.35</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601</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torrente sanguíneo</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75</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4.50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6030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Osteomielitis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29</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8.55</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6022</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 la piel</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 ATENCIÓN</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102</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2.05</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705</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Dosis o frecuencia errónea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MEDICACIÓN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50</w:t>
            </w:r>
          </w:p>
        </w:tc>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3.70</w:t>
            </w:r>
          </w:p>
        </w:tc>
        <w:tc>
          <w:tcPr>
            <w:tcW w:type="dxa" w:w="84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ROJO</w:t>
            </w:r>
          </w:p>
        </w:tc>
      </w:tr>
      <w:tr>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8016</w:t>
            </w:r>
          </w:p>
        </w:tc>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Neumotórax</w:t>
            </w:r>
          </w:p>
        </w:tc>
        <w:tc>
          <w:tcPr>
            <w:tcW w:type="dxa" w:w="2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PROCEDIMIENTO</w:t>
            </w:r>
          </w:p>
        </w:tc>
        <w:tc>
          <w:tcPr>
            <w:tcW w:type="dxa" w:w="1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NegEx</w:t>
            </w:r>
          </w:p>
        </w:tc>
        <w:tc>
          <w:tcPr>
            <w:tcW w:type="dxa" w:w="72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40</w:t>
            </w:r>
          </w:p>
        </w:tc>
        <w:tc>
          <w:tcPr>
            <w:tcW w:type="dxa" w:w="6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4.30</w:t>
            </w:r>
          </w:p>
        </w:tc>
        <w:tc>
          <w:tcPr>
            <w:tcW w:type="dxa" w:w="84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AMARILLO</w:t>
            </w:r>
          </w:p>
        </w:tc>
      </w:tr>
    </w:tbl>
    <w:p>
      <w:r>
        <w:br w:type="page"/>
      </w:r>
    </w:p>
    <w:p>
      <w:pPr>
        <w:pStyle w:val="Heading1"/>
      </w:pPr>
      <w:r>
        <w:rPr>
          <w:rFonts w:ascii="Arial" w:cs="Arial" w:eastAsia="Arial" w:hAnsi="Arial"/>
        </w:rPr>
        <w:t xml:space="preserve">15. Etapa 8 — Cuantificación operacional: cruzamiento NLP × Estancia prolongada</w:t>
      </w:r>
    </w:p>
    <w:p>
      <w:pPr>
        <w:spacing w:after="120"/>
      </w:pPr>
      <w:r>
        <w:rPr>
          <w:rFonts w:ascii="Arial" w:cs="Arial" w:eastAsia="Arial" w:hAnsi="Arial"/>
          <w:sz w:val="22"/>
          <w:szCs w:val="22"/>
        </w:rPr>
        <w:t xml:space="preserve">Esta etapa cruza las dos fuentes de detección para responder a una pregunta empírica de gestión: ¿están las hospitalizaciones con eventos clínicos detectados realmente asociadas a estancias prolongadas? La respuesta cuantitativa es uno de los principales aportes del trabajo al Modelo GEMSES.</w:t>
      </w:r>
    </w:p>
    <w:p>
      <w:r>
        <w:rPr>
          <w:rFonts w:ascii="Arial" w:cs="Arial" w:eastAsia="Arial" w:hAnsi="Arial"/>
          <w:sz w:val="12"/>
          <w:szCs w:val="12"/>
        </w:rPr>
        <w:t xml:space="preserve"> </w:t>
      </w:r>
    </w:p>
    <w:p>
      <w:pPr>
        <w:pStyle w:val="Heading2"/>
      </w:pPr>
      <w:r>
        <w:rPr>
          <w:rFonts w:ascii="Arial" w:cs="Arial" w:eastAsia="Arial" w:hAnsi="Arial"/>
        </w:rPr>
        <w:t xml:space="preserve">15.1 Cohorte y tabla 2×2</w:t>
      </w:r>
    </w:p>
    <w:p>
      <w:pPr>
        <w:spacing w:after="120"/>
      </w:pPr>
      <w:r>
        <w:rPr>
          <w:rFonts w:ascii="Arial" w:cs="Arial" w:eastAsia="Arial" w:hAnsi="Arial"/>
          <w:sz w:val="22"/>
          <w:szCs w:val="22"/>
        </w:rPr>
        <w:t xml:space="preserve">Cohorte: 1,632 hospitalizaciones de la muestra de 2,000 que tienen LOS evaluable (excluye fallecidos y sin DRG asignado).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LOS normal</w:t>
            </w:r>
          </w:p>
        </w:tc>
        <w:tc>
          <w:tcPr>
            <w:tcW w:type="dxa" w:w="2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LOS prolongada</w:t>
            </w:r>
          </w:p>
        </w:tc>
        <w:tc>
          <w:tcPr>
            <w:tcW w:type="dxa" w:w="2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Total</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Con evento NLP+</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487</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221</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708</w:t>
            </w:r>
          </w:p>
        </w:tc>
      </w:tr>
      <w:tr>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Sin evento NLP</w:t>
            </w:r>
          </w:p>
        </w:tc>
        <w:tc>
          <w:tcPr>
            <w:tcW w:type="dxa" w:w="20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730</w:t>
            </w:r>
          </w:p>
        </w:tc>
        <w:tc>
          <w:tcPr>
            <w:tcW w:type="dxa" w:w="208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194</w:t>
            </w:r>
          </w:p>
        </w:tc>
        <w:tc>
          <w:tcPr>
            <w:tcW w:type="dxa" w:w="208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924</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Total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1,217</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415</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1,632</w:t>
            </w:r>
          </w:p>
        </w:tc>
      </w:tr>
    </w:tbl>
    <w:p>
      <w:r>
        <w:rPr>
          <w:rFonts w:ascii="Arial" w:cs="Arial" w:eastAsia="Arial" w:hAnsi="Arial"/>
          <w:sz w:val="12"/>
          <w:szCs w:val="12"/>
        </w:rPr>
        <w:t xml:space="preserve"> </w:t>
      </w:r>
    </w:p>
    <w:p>
      <w:pPr>
        <w:pStyle w:val="Heading2"/>
      </w:pPr>
      <w:r>
        <w:rPr>
          <w:rFonts w:ascii="Arial" w:cs="Arial" w:eastAsia="Arial" w:hAnsi="Arial"/>
        </w:rPr>
        <w:t xml:space="preserve">15.2 Riesgo Relativo y Riesgo Atribuible</w:t>
      </w:r>
    </w:p>
    <w:p>
      <w:pPr>
        <w:shd w:fill="F2F2F2" w:val="clear"/>
        <w:spacing w:after="0" w:before="0"/>
      </w:pPr>
      <w:r>
        <w:rPr>
          <w:rFonts w:ascii="Consolas" w:cs="Consolas" w:eastAsia="Consolas" w:hAnsi="Consolas"/>
          <w:sz w:val="16"/>
          <w:szCs w:val="16"/>
        </w:rPr>
        <w:t xml:space="preserve">   P(prolongada | NLP+) = 31.2 %</w:t>
      </w:r>
    </w:p>
    <w:p>
      <w:pPr>
        <w:shd w:fill="F2F2F2" w:val="clear"/>
        <w:spacing w:after="0" w:before="0"/>
      </w:pPr>
      <w:r>
        <w:rPr>
          <w:rFonts w:ascii="Consolas" w:cs="Consolas" w:eastAsia="Consolas" w:hAnsi="Consolas"/>
          <w:sz w:val="16"/>
          <w:szCs w:val="16"/>
        </w:rPr>
        <w:t xml:space="preserve">   P(prolongada | NLP-) = 21.0 %</w:t>
      </w:r>
    </w:p>
    <w:p>
      <w:pPr>
        <w:shd w:fill="F2F2F2" w:val="clear"/>
        <w:spacing w:after="0" w:before="0"/>
      </w:pPr>
      <w:r>
        <w:rPr>
          <w:rFonts w:ascii="Consolas" w:cs="Consolas" w:eastAsia="Consolas" w:hAnsi="Consolas"/>
          <w:sz w:val="16"/>
          <w:szCs w:val="16"/>
        </w:rPr>
        <w:t xml:space="preserve"> </w:t>
      </w:r>
    </w:p>
    <w:p>
      <w:pPr>
        <w:shd w:fill="F2F2F2" w:val="clear"/>
        <w:spacing w:after="0" w:before="0"/>
      </w:pPr>
      <w:r>
        <w:rPr>
          <w:rFonts w:ascii="Consolas" w:cs="Consolas" w:eastAsia="Consolas" w:hAnsi="Consolas"/>
          <w:sz w:val="16"/>
          <w:szCs w:val="16"/>
        </w:rPr>
        <w:t xml:space="preserve">   Riesgo Relativo (RR) = 1.49 x</w:t>
      </w:r>
    </w:p>
    <w:p>
      <w:pPr>
        <w:shd w:fill="F2F2F2" w:val="clear"/>
        <w:spacing w:after="0" w:before="0"/>
      </w:pPr>
      <w:r>
        <w:rPr>
          <w:rFonts w:ascii="Consolas" w:cs="Consolas" w:eastAsia="Consolas" w:hAnsi="Consolas"/>
          <w:sz w:val="16"/>
          <w:szCs w:val="16"/>
        </w:rPr>
        <w:t xml:space="preserve">   Riesgo Atribuible    = +10.2 puntos porcentuales</w:t>
      </w:r>
    </w:p>
    <w:p>
      <w:r>
        <w:rPr>
          <w:rFonts w:ascii="Arial" w:cs="Arial" w:eastAsia="Arial" w:hAnsi="Arial"/>
          <w:sz w:val="12"/>
          <w:szCs w:val="12"/>
        </w:rPr>
        <w:t xml:space="preserve"> </w:t>
      </w:r>
    </w:p>
    <w:p>
      <w:pPr>
        <w:spacing w:after="120"/>
      </w:pPr>
      <w:r>
        <w:rPr>
          <w:rFonts w:ascii="Arial" w:cs="Arial" w:eastAsia="Arial" w:hAnsi="Arial"/>
          <w:sz w:val="22"/>
          <w:szCs w:val="22"/>
        </w:rPr>
        <w:t xml:space="preserve">Interpretación: las hospitalizaciones donde el sistema detecta al menos un evento adverso clínico tienen 49 % más probabilidad de prolongarse. El 10.2 % es el riesgo de prolongación adicional directamente atribuible a la presencia de eventos detectados. Ambas magnitudes son interpretables clínicamente.</w:t>
      </w:r>
    </w:p>
    <w:p>
      <w:r>
        <w:rPr>
          <w:rFonts w:ascii="Arial" w:cs="Arial" w:eastAsia="Arial" w:hAnsi="Arial"/>
          <w:sz w:val="12"/>
          <w:szCs w:val="12"/>
        </w:rPr>
        <w:t xml:space="preserve"> </w:t>
      </w:r>
    </w:p>
    <w:p>
      <w:pPr>
        <w:pStyle w:val="Heading2"/>
      </w:pPr>
      <w:r>
        <w:rPr>
          <w:rFonts w:ascii="Arial" w:cs="Arial" w:eastAsia="Arial" w:hAnsi="Arial"/>
        </w:rPr>
        <w:t xml:space="preserve">15.3 Asociación por naturaleza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1700"/>
        <w:gridCol w:w="2360"/>
      </w:tblGrid>
      <w:tr>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Naturaleza</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 prolongación</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RR</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asociada a la atención</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353</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36.0 %</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1.71</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Medicación</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135</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34.8 %</w:t>
            </w:r>
          </w:p>
        </w:tc>
        <w:tc>
          <w:tcPr>
            <w:tcW w:type="dxa" w:w="23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1.66</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Comportamiento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33.3 %</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1.59</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Cuidado del paciente</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235</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31.9 %</w:t>
            </w:r>
          </w:p>
        </w:tc>
        <w:tc>
          <w:tcPr>
            <w:tcW w:type="dxa" w:w="23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1.52</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Procedimiento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30.7 %</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1.46</w:t>
            </w:r>
          </w:p>
        </w:tc>
      </w:tr>
      <w:tr>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Sangre/Hemoderivados</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28.6 %</w:t>
            </w:r>
          </w:p>
        </w:tc>
        <w:tc>
          <w:tcPr>
            <w:tcW w:type="dxa" w:w="23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1.36</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Todas las naturalezas muestran RR &gt; 1, confirmando que la presencia de cualquier categoría de evento adverso clínico está asociada a mayor riesgo de prolongación. Las dos categorías de mayor asociación coinciden con las dos prioridades clásicas de la seguridad del paciente: infecciones asociadas a la atención y errores de medicación.</w:t>
      </w:r>
    </w:p>
    <w:p>
      <w:r>
        <w:rPr>
          <w:rFonts w:ascii="Arial" w:cs="Arial" w:eastAsia="Arial" w:hAnsi="Arial"/>
          <w:sz w:val="12"/>
          <w:szCs w:val="12"/>
        </w:rPr>
        <w:t xml:space="preserve"> </w:t>
      </w:r>
    </w:p>
    <w:p>
      <w:pPr>
        <w:pStyle w:val="Heading2"/>
      </w:pPr>
      <w:r>
        <w:rPr>
          <w:rFonts w:ascii="Arial" w:cs="Arial" w:eastAsia="Arial" w:hAnsi="Arial"/>
        </w:rPr>
        <w:t xml:space="preserve">15.4 Top 8 eventos individuales con mayor RR (n&gt;=10)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100"/>
        <w:gridCol w:w="1700"/>
        <w:gridCol w:w="1660"/>
      </w:tblGrid>
      <w:t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Evento</w:t>
            </w:r>
          </w:p>
        </w:tc>
        <w:tc>
          <w:tcPr>
            <w:tcW w:type="dxa" w:w="1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Prob. prolongación</w:t>
            </w:r>
          </w:p>
        </w:tc>
        <w:tc>
          <w:tcPr>
            <w:tcW w:type="dxa" w:w="1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RR</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2011</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Lesiones de piel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58.3 %</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2.78</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607</w:t>
            </w:r>
          </w:p>
        </w:tc>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Neumonía definida clínicamente</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14</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57.1 %</w:t>
            </w:r>
          </w:p>
        </w:tc>
        <w:tc>
          <w:tcPr>
            <w:tcW w:type="dxa" w:w="1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2.72</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206</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Flebitis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11</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54.5 %</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2.60</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601</w:t>
            </w:r>
          </w:p>
        </w:tc>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torrente sanguíneo (ITS)</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64</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51.6 %</w:t>
            </w:r>
          </w:p>
        </w:tc>
        <w:tc>
          <w:tcPr>
            <w:tcW w:type="dxa" w:w="1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2.46</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6035</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Meningitis o ventriculitis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16</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43.8 %</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2.08</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7031</w:t>
            </w:r>
          </w:p>
        </w:tc>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C. difficile asociada a antibióticos</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77</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42.9 %</w:t>
            </w:r>
          </w:p>
        </w:tc>
        <w:tc>
          <w:tcPr>
            <w:tcW w:type="dxa" w:w="1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2.04</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6030</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Osteomielitis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25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40.0 %</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1.91</w:t>
            </w:r>
          </w:p>
        </w:tc>
      </w:tr>
      <w:tr>
        <w:tc>
          <w:tcPr>
            <w:tcW w:type="dxa" w:w="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602</w:t>
            </w:r>
          </w:p>
        </w:tc>
        <w:tc>
          <w:tcPr>
            <w:tcW w:type="dxa" w:w="4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Infección del tracto urinario</w:t>
            </w:r>
          </w:p>
        </w:tc>
        <w:tc>
          <w:tcPr>
            <w:tcW w:type="dxa" w:w="11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173</w:t>
            </w:r>
          </w:p>
        </w:tc>
        <w:tc>
          <w:tcPr>
            <w:tcW w:type="dxa" w:w="17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35.8 %</w:t>
            </w:r>
          </w:p>
        </w:tc>
        <w:tc>
          <w:tcPr>
            <w:tcW w:type="dxa" w:w="16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1.71</w:t>
            </w:r>
          </w:p>
        </w:tc>
      </w:tr>
    </w:tbl>
    <w:p>
      <w:r>
        <w:rPr>
          <w:rFonts w:ascii="Arial" w:cs="Arial" w:eastAsia="Arial" w:hAnsi="Arial"/>
          <w:sz w:val="12"/>
          <w:szCs w:val="12"/>
        </w:rPr>
        <w:t xml:space="preserve"> </w:t>
      </w:r>
    </w:p>
    <w:p>
      <w:pPr>
        <w:spacing w:after="120"/>
      </w:pPr>
      <w:r>
        <w:rPr>
          <w:rFonts w:ascii="Arial" w:cs="Arial" w:eastAsia="Arial" w:hAnsi="Arial"/>
          <w:sz w:val="22"/>
          <w:szCs w:val="22"/>
        </w:rPr>
        <w:t xml:space="preserve">Los cuatro eventos con RR &gt; 2.4 (lesiones de piel, neumonía hospitalaria, flebitis, sepsis del torrente sanguíneo) más que duplican el riesgo de prolongación. Coinciden con los eventos adversos prevenibles de mayor reporte en la literatura internacional, lo que da validez clínica de constructo a la detección NLP.</w:t>
      </w:r>
    </w:p>
    <w:p>
      <w:r>
        <w:rPr>
          <w:rFonts w:ascii="Arial" w:cs="Arial" w:eastAsia="Arial" w:hAnsi="Arial"/>
          <w:sz w:val="12"/>
          <w:szCs w:val="12"/>
        </w:rPr>
        <w:t xml:space="preserve"> </w:t>
      </w:r>
    </w:p>
    <w:p>
      <w:pPr>
        <w:pStyle w:val="Heading2"/>
      </w:pPr>
      <w:r>
        <w:rPr>
          <w:rFonts w:ascii="Arial" w:cs="Arial" w:eastAsia="Arial" w:hAnsi="Arial"/>
        </w:rPr>
        <w:t xml:space="preserve">15.5 Exceso de días cuando coocurren evento + prolongación (n=221)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Estadístico</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Días de exceso sobre el P75 del DRG</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Mediana</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3.2</w:t>
            </w:r>
          </w:p>
        </w:tc>
      </w:tr>
      <w:tr>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Media</w:t>
            </w:r>
          </w:p>
        </w:tc>
        <w:tc>
          <w:tcPr>
            <w:tcW w:type="dxa" w:w="6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6.1</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P75</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7.3</w:t>
            </w:r>
          </w:p>
        </w:tc>
      </w:tr>
      <w:tr>
        <w:tc>
          <w:tcPr>
            <w:tcW w:type="dxa" w:w="320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Máximo</w:t>
            </w:r>
          </w:p>
        </w:tc>
        <w:tc>
          <w:tcPr>
            <w:tcW w:type="dxa" w:w="6160"/>
            <w:tcBorders>
              <w:top w:val="single" w:color="BFBFBF" w:sz="1"/>
              <w:left w:val="single" w:color="BFBFBF" w:sz="1"/>
              <w:bottom w:val="single" w:color="BFBFBF" w:sz="1"/>
              <w:right w:val="single" w:color="BFBFBF" w:sz="1"/>
            </w:tcBorders>
            <w:shd w:fill="EEF1F6" w:val="clear"/>
            <w:tcMar>
              <w:top w:type="dxa" w:w="80"/>
              <w:left w:type="dxa" w:w="120"/>
              <w:bottom w:type="dxa" w:w="80"/>
              <w:right w:type="dxa" w:w="120"/>
            </w:tcMar>
            <w:vAlign w:val="center"/>
          </w:tcPr>
          <w:p>
            <w:pPr>
              <w:spacing w:after="0"/>
            </w:pPr>
            <w:r>
              <w:rPr>
                <w:rFonts w:ascii="Arial" w:cs="Arial" w:eastAsia="Arial" w:hAnsi="Arial"/>
                <w:b w:val="false"/>
                <w:bCs w:val="false"/>
                <w:color w:val="000000"/>
                <w:sz w:val="20"/>
                <w:szCs w:val="20"/>
              </w:rPr>
              <w:t xml:space="preserve">55.9</w:t>
            </w:r>
          </w:p>
        </w:tc>
      </w:tr>
    </w:tbl>
    <w:p>
      <w:r>
        <w:rPr>
          <w:rFonts w:ascii="Arial" w:cs="Arial" w:eastAsia="Arial" w:hAnsi="Arial"/>
          <w:sz w:val="12"/>
          <w:szCs w:val="12"/>
        </w:rPr>
        <w:t xml:space="preserve"> </w:t>
      </w:r>
    </w:p>
    <w:p>
      <w:pPr>
        <w:pStyle w:val="Heading2"/>
      </w:pPr>
      <w:r>
        <w:rPr>
          <w:rFonts w:ascii="Arial" w:cs="Arial" w:eastAsia="Arial" w:hAnsi="Arial"/>
        </w:rPr>
        <w:t xml:space="preserve">15.6 Implicaciones para el Capítulo IV de la tesis</w:t>
      </w:r>
    </w:p>
    <w:p>
      <w:pPr>
        <w:pStyle w:val="ListParagraph"/>
        <w:numPr>
          <w:ilvl w:val="0"/>
          <w:numId w:val="2"/>
        </w:numPr>
        <w:spacing w:after="60"/>
      </w:pPr>
      <w:r>
        <w:rPr>
          <w:rFonts w:ascii="Arial" w:cs="Arial" w:eastAsia="Arial" w:hAnsi="Arial"/>
          <w:sz w:val="22"/>
          <w:szCs w:val="22"/>
        </w:rPr>
        <w:t xml:space="preserve">La asociación NLP × LOS no es trivial ni circular: las dos fuentes de detección operan sobre datos completamente distintos (texto libre vs fechas estructuradas), por lo que el RR=1.49 medido es evidencia empírica genuina.</w:t>
      </w:r>
    </w:p>
    <w:p>
      <w:pPr>
        <w:pStyle w:val="ListParagraph"/>
        <w:numPr>
          <w:ilvl w:val="0"/>
          <w:numId w:val="2"/>
        </w:numPr>
        <w:spacing w:after="60"/>
      </w:pPr>
      <w:r>
        <w:rPr>
          <w:rFonts w:ascii="Arial" w:cs="Arial" w:eastAsia="Arial" w:hAnsi="Arial"/>
          <w:sz w:val="22"/>
          <w:szCs w:val="22"/>
        </w:rPr>
        <w:t xml:space="preserve">Las infecciones asociadas a la atención y los errores de medicación encabezan la asociación con prolongación — coincidiendo con la priorización clásica de seguridad del paciente.</w:t>
      </w:r>
    </w:p>
    <w:p>
      <w:pPr>
        <w:pStyle w:val="ListParagraph"/>
        <w:numPr>
          <w:ilvl w:val="0"/>
          <w:numId w:val="2"/>
        </w:numPr>
        <w:spacing w:after="60"/>
      </w:pPr>
      <w:r>
        <w:rPr>
          <w:rFonts w:ascii="Arial" w:cs="Arial" w:eastAsia="Arial" w:hAnsi="Arial"/>
          <w:sz w:val="22"/>
          <w:szCs w:val="22"/>
        </w:rPr>
        <w:t xml:space="preserve">Magnitudes interpretables clínicamente: 49 % más riesgo de prolongación, 10.2 pp de riesgo atribuible, 3.2 días medianos de exceso cuando coocurren.</w:t>
      </w:r>
    </w:p>
    <w:p>
      <w:pPr>
        <w:pStyle w:val="ListParagraph"/>
        <w:numPr>
          <w:ilvl w:val="0"/>
          <w:numId w:val="2"/>
        </w:numPr>
        <w:spacing w:after="60"/>
      </w:pPr>
      <w:r>
        <w:rPr>
          <w:rFonts w:ascii="Arial" w:cs="Arial" w:eastAsia="Arial" w:hAnsi="Arial"/>
          <w:sz w:val="22"/>
          <w:szCs w:val="22"/>
        </w:rPr>
        <w:t xml:space="preserve">La operacionalización aplica el espíritu completo del Modelo GEMSES: integra una dimensión clínica (NLP) y una administrativa (LOS) en una sola medida cuantificable.</w:t>
      </w:r>
    </w:p>
    <w:p>
      <w:r>
        <w:rPr>
          <w:rFonts w:ascii="Arial" w:cs="Arial" w:eastAsia="Arial" w:hAnsi="Arial"/>
          <w:sz w:val="12"/>
          <w:szCs w:val="12"/>
        </w:rPr>
        <w:t xml:space="preserve"> </w:t>
      </w:r>
    </w:p>
    <w:p>
      <w:pPr>
        <w:spacing w:after="120"/>
        <w:rPr>
          <w:i/>
          <w:iCs/>
          <w:color w:val="595959"/>
        </w:rPr>
      </w:pPr>
      <w:r>
        <w:rPr>
          <w:rFonts w:ascii="Arial" w:cs="Arial" w:eastAsia="Arial" w:hAnsi="Arial"/>
          <w:i/>
          <w:iCs/>
          <w:color w:val="595959"/>
          <w:sz w:val="22"/>
          <w:szCs w:val="22"/>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pPr>
    <w:r>
      <w:rPr>
        <w:rFonts w:ascii="Arial" w:cs="Arial" w:eastAsia="Arial" w:hAnsi="Arial"/>
        <w:color w:val="595959"/>
        <w:sz w:val="16"/>
        <w:szCs w:val="16"/>
      </w:rPr>
      <w:t xml:space="preserve">Informe de Avance v6 — Tesis GEMSES-MIMIC — Carlos Pérez Pérez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2026-05-18T01:44:16.563Z</dcterms:created>
  <dcterms:modified xsi:type="dcterms:W3CDTF">2026-05-18T01:44:16.566Z</dcterms:modified>
</cp:coreProperties>
</file>

<file path=docProps/custom.xml><?xml version="1.0" encoding="utf-8"?>
<Properties xmlns="http://schemas.openxmlformats.org/officeDocument/2006/custom-properties" xmlns:vt="http://schemas.openxmlformats.org/officeDocument/2006/docPropsVTypes"/>
</file>