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C00000"/>
          <w:sz w:val="32"/>
          <w:szCs w:val="32"/>
        </w:rPr>
        <w:t xml:space="preserve">BORRADOR PRELIMINAR</w:t>
      </w:r>
    </w:p>
    <w:p>
      <w:pPr>
        <w:spacing w:before="60"/>
        <w:jc w:val="center"/>
      </w:pPr>
      <w:r>
        <w:rPr>
          <w:rFonts w:ascii="Arial" w:cs="Arial" w:eastAsia="Arial" w:hAnsi="Arial"/>
          <w:i/>
          <w:iCs/>
          <w:color w:val="595959"/>
          <w:sz w:val="18"/>
          <w:szCs w:val="18"/>
        </w:rPr>
        <w:t xml:space="preserve">Versión preliminar — pendiente confirmar contenido de Sesiones 3, 4 y 5 del curso MIA-NLP</w:t>
      </w:r>
    </w:p>
    <w:p>
      <w:pPr>
        <w:spacing w:before="800"/>
        <w:jc w:val="center"/>
      </w:pPr>
      <w:r>
        <w:rPr>
          <w:rFonts w:ascii="Arial" w:cs="Arial" w:eastAsia="Arial" w:hAnsi="Arial"/>
          <w:b/>
          <w:bCs/>
          <w:color w:val="1F3864"/>
          <w:sz w:val="36"/>
          <w:szCs w:val="36"/>
        </w:rPr>
        <w:t xml:space="preserve">CAPÍTULO II</w:t>
      </w:r>
    </w:p>
    <w:p>
      <w:pPr>
        <w:spacing w:before="60"/>
        <w:jc w:val="center"/>
      </w:pPr>
      <w:r>
        <w:rPr>
          <w:rFonts w:ascii="Arial" w:cs="Arial" w:eastAsia="Arial" w:hAnsi="Arial"/>
          <w:b/>
          <w:bCs/>
          <w:color w:val="1F3864"/>
          <w:sz w:val="48"/>
          <w:szCs w:val="48"/>
        </w:rPr>
        <w:t xml:space="preserve">MARCO TEÓRICO</w:t>
      </w:r>
    </w:p>
    <w:p>
      <w:pPr>
        <w:spacing w:before="240"/>
        <w:jc w:val="center"/>
      </w:pPr>
      <w:r>
        <w:rPr>
          <w:rFonts w:ascii="Arial" w:cs="Arial" w:eastAsia="Arial" w:hAnsi="Arial"/>
          <w:i/>
          <w:iCs/>
          <w:sz w:val="24"/>
          <w:szCs w:val="24"/>
        </w:rPr>
        <w:t xml:space="preserve">Procesamiento de Lenguaje Natural aplicado a la detección de eventos adversos en notas clínicas</w:t>
      </w:r>
    </w:p>
    <w:p>
      <w:pPr>
        <w:spacing w:before="600"/>
        <w:jc w:val="center"/>
      </w:pPr>
      <w:r>
        <w:rPr>
          <w:rFonts w:ascii="Arial" w:cs="Arial" w:eastAsia="Arial" w:hAnsi="Arial"/>
          <w:sz w:val="22"/>
          <w:szCs w:val="22"/>
        </w:rPr>
        <w:t xml:space="preserve">Tesis de Maestría en Inteligencia Artificial — UNI</w:t>
      </w:r>
    </w:p>
    <w:p>
      <w:pPr>
        <w:spacing w:before="60"/>
        <w:jc w:val="center"/>
      </w:pPr>
      <w:r>
        <w:rPr>
          <w:rFonts w:ascii="Arial" w:cs="Arial" w:eastAsia="Arial" w:hAnsi="Arial"/>
          <w:b/>
          <w:bCs/>
          <w:sz w:val="22"/>
          <w:szCs w:val="22"/>
        </w:rPr>
        <w:t xml:space="preserve">Autor: Carlos Pérez Pérez</w:t>
      </w:r>
    </w:p>
    <w:p>
      <w:pPr>
        <w:spacing w:before="60"/>
        <w:jc w:val="center"/>
      </w:pPr>
      <w:r>
        <w:rPr>
          <w:rFonts w:ascii="Arial" w:cs="Arial" w:eastAsia="Arial" w:hAnsi="Arial"/>
          <w:sz w:val="20"/>
          <w:szCs w:val="20"/>
        </w:rPr>
        <w:t xml:space="preserve">Versión 0.1 — 17 de mayo de 2026</w:t>
      </w:r>
    </w:p>
    <w:p>
      <w:r>
        <w:br w:type="page"/>
      </w:r>
    </w:p>
    <w:p>
      <w:pPr>
        <w:pStyle w:val="Heading1"/>
      </w:pPr>
      <w:r>
        <w:rPr>
          <w:rFonts w:ascii="Arial" w:cs="Arial" w:eastAsia="Arial" w:hAnsi="Arial"/>
        </w:rPr>
        <w:t xml:space="preserve">Aviso sobre el estado de este documento</w:t>
      </w:r>
    </w:p>
    <w:p>
      <w:pPr>
        <w:spacing w:after="120"/>
      </w:pPr>
      <w:r>
        <w:rPr>
          <w:rFonts w:ascii="Arial" w:cs="Arial" w:eastAsia="Arial" w:hAnsi="Arial"/>
          <w:sz w:val="22"/>
          <w:szCs w:val="22"/>
        </w:rPr>
        <w:t xml:space="preserve">Este es un borrador preliminar del Capítulo II — Marco Teórico — preparado antes de la finalización del curso "Natural Language Processing" del Dr. Wester Zela (MAE SE-B, UNI, Mayo 2026).</w:t>
      </w:r>
    </w:p>
    <w:p>
      <w:r>
        <w:rPr>
          <w:rFonts w:ascii="Arial" w:cs="Arial" w:eastAsia="Arial" w:hAnsi="Arial"/>
          <w:sz w:val="12"/>
          <w:szCs w:val="12"/>
        </w:rPr>
        <w:t xml:space="preserve"> </w:t>
      </w:r>
    </w:p>
    <w:p>
      <w:pPr>
        <w:spacing w:after="120"/>
      </w:pPr>
      <w:r>
        <w:rPr>
          <w:rFonts w:ascii="Arial" w:cs="Arial" w:eastAsia="Arial" w:hAnsi="Arial"/>
          <w:sz w:val="22"/>
          <w:szCs w:val="22"/>
        </w:rPr>
        <w:t xml:space="preserve">El contenido se basa en:</w:t>
      </w:r>
    </w:p>
    <w:p>
      <w:pPr>
        <w:pStyle w:val="ListParagraph"/>
        <w:numPr>
          <w:ilvl w:val="0"/>
          <w:numId w:val="2"/>
        </w:numPr>
        <w:spacing w:after="60"/>
      </w:pPr>
      <w:r>
        <w:rPr>
          <w:rFonts w:ascii="Arial" w:cs="Arial" w:eastAsia="Arial" w:hAnsi="Arial"/>
          <w:sz w:val="22"/>
          <w:szCs w:val="22"/>
        </w:rPr>
        <w:t xml:space="preserve">Sesión 1 — Introducción, historia del PLN, panorama de LLMs (PDF revisado).</w:t>
      </w:r>
    </w:p>
    <w:p>
      <w:pPr>
        <w:pStyle w:val="ListParagraph"/>
        <w:numPr>
          <w:ilvl w:val="0"/>
          <w:numId w:val="2"/>
        </w:numPr>
        <w:spacing w:after="60"/>
      </w:pPr>
      <w:r>
        <w:rPr>
          <w:rFonts w:ascii="Arial" w:cs="Arial" w:eastAsia="Arial" w:hAnsi="Arial"/>
          <w:sz w:val="22"/>
          <w:szCs w:val="22"/>
        </w:rPr>
        <w:t xml:space="preserve">Sesión 2 — NLTK, n-gramas, TF-IDF, LDA (PDF revisado).</w:t>
      </w:r>
    </w:p>
    <w:p>
      <w:pPr>
        <w:pStyle w:val="ListParagraph"/>
        <w:numPr>
          <w:ilvl w:val="0"/>
          <w:numId w:val="2"/>
        </w:numPr>
        <w:spacing w:after="60"/>
      </w:pPr>
      <w:r>
        <w:rPr>
          <w:rFonts w:ascii="Arial" w:cs="Arial" w:eastAsia="Arial" w:hAnsi="Arial"/>
          <w:sz w:val="22"/>
          <w:szCs w:val="22"/>
        </w:rPr>
        <w:t xml:space="preserve">Sesión 3 — Word2Vec, CBOW, Skip-gram (sólo nombres de archivos del curso; contenido detallado pendiente).</w:t>
      </w:r>
    </w:p>
    <w:p>
      <w:pPr>
        <w:pStyle w:val="ListParagraph"/>
        <w:numPr>
          <w:ilvl w:val="0"/>
          <w:numId w:val="2"/>
        </w:numPr>
        <w:spacing w:after="60"/>
      </w:pPr>
      <w:r>
        <w:rPr>
          <w:rFonts w:ascii="Arial" w:cs="Arial" w:eastAsia="Arial" w:hAnsi="Arial"/>
          <w:sz w:val="22"/>
          <w:szCs w:val="22"/>
        </w:rPr>
        <w:t xml:space="preserve">Sesión 4 — GloVe (sólo nombres de archivos; contenido detallado pendiente).</w:t>
      </w:r>
    </w:p>
    <w:p>
      <w:pPr>
        <w:pStyle w:val="ListParagraph"/>
        <w:numPr>
          <w:ilvl w:val="0"/>
          <w:numId w:val="2"/>
        </w:numPr>
        <w:spacing w:after="60"/>
      </w:pPr>
      <w:r>
        <w:rPr>
          <w:rFonts w:ascii="Arial" w:cs="Arial" w:eastAsia="Arial" w:hAnsi="Arial"/>
          <w:sz w:val="22"/>
          <w:szCs w:val="22"/>
        </w:rPr>
        <w:t xml:space="preserve">Sesión 5 — Pendiente de dictar al cierre de esta versión.</w:t>
      </w:r>
    </w:p>
    <w:p>
      <w:r>
        <w:rPr>
          <w:rFonts w:ascii="Arial" w:cs="Arial" w:eastAsia="Arial" w:hAnsi="Arial"/>
          <w:sz w:val="12"/>
          <w:szCs w:val="12"/>
        </w:rPr>
        <w:t xml:space="preserve"> </w:t>
      </w:r>
    </w:p>
    <w:p>
      <w:pPr>
        <w:spacing w:after="120"/>
        <w:rPr>
          <w:i/>
          <w:iCs/>
        </w:rPr>
      </w:pPr>
      <w:r>
        <w:rPr>
          <w:rFonts w:ascii="Arial" w:cs="Arial" w:eastAsia="Arial" w:hAnsi="Arial"/>
          <w:i/>
          <w:iCs/>
          <w:sz w:val="22"/>
          <w:szCs w:val="22"/>
        </w:rPr>
        <w:t xml:space="preserve">Se actualizará a una versión 1.0 (definitiva) cuando se confirme el contenido completo de las sesiones restantes.</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Esquema visual de priorización de modelos para la tesis</w:t>
      </w:r>
    </w:p>
    <w:p>
      <w:pPr>
        <w:spacing w:after="120"/>
      </w:pPr>
      <w:r>
        <w:rPr>
          <w:rFonts w:ascii="Arial" w:cs="Arial" w:eastAsia="Arial" w:hAnsi="Arial"/>
          <w:sz w:val="22"/>
          <w:szCs w:val="22"/>
        </w:rPr>
        <w:t xml:space="preserve">La siguiente pirámide ordena los modelos de PLN según su prioridad de uso en esta tesis, no según su sofisticación técnica general. La decisión privilegia: (a) reproducibilidad sin GPU, (b) alineación al dominio clínico, y (c) defendibilidad académica.</w:t>
      </w:r>
    </w:p>
    <w:p>
      <w:r>
        <w:rPr>
          <w:rFonts w:ascii="Arial" w:cs="Arial" w:eastAsia="Arial" w:hAnsi="Arial"/>
          <w:sz w:val="12"/>
          <w:szCs w:val="12"/>
        </w:rPr>
        <w:t xml:space="preserve"> </w:t>
      </w:r>
    </w:p>
    <w:p>
      <w:pPr>
        <w:shd w:fill="F2F2F2" w:val="clear"/>
        <w:spacing w:after="0" w:before="0"/>
      </w:pPr>
      <w:r>
        <w:rPr>
          <w:rFonts w:ascii="Consolas" w:cs="Consolas" w:eastAsia="Consolas" w:hAnsi="Consolas"/>
          <w:color w:val="1F3864"/>
          <w:sz w:val="16"/>
          <w:szCs w:val="16"/>
        </w:rPr>
        <w:t xml:space="preserve"> </w:t>
      </w:r>
    </w:p>
    <w:p>
      <w:pPr>
        <w:shd w:fill="F2F2F2" w:val="clear"/>
        <w:spacing w:after="0" w:before="0"/>
      </w:pPr>
      <w:r>
        <w:rPr>
          <w:rFonts w:ascii="Consolas" w:cs="Consolas" w:eastAsia="Consolas" w:hAnsi="Consolas"/>
          <w:color w:val="1F3864"/>
          <w:sz w:val="16"/>
          <w:szCs w:val="16"/>
        </w:rPr>
        <w:t xml:space="preserve">                          /\</w:t>
      </w:r>
    </w:p>
    <w:p>
      <w:pPr>
        <w:shd w:fill="F2F2F2" w:val="clear"/>
        <w:spacing w:after="0" w:before="0"/>
      </w:pPr>
      <w:r>
        <w:rPr>
          <w:rFonts w:ascii="Consolas" w:cs="Consolas" w:eastAsia="Consolas" w:hAnsi="Consolas"/>
          <w:color w:val="1F3864"/>
          <w:sz w:val="16"/>
          <w:szCs w:val="16"/>
        </w:rPr>
        <w:t xml:space="preserve">                         /  \</w:t>
      </w:r>
    </w:p>
    <w:p>
      <w:pPr>
        <w:shd w:fill="F2F2F2" w:val="clear"/>
        <w:spacing w:after="0" w:before="0"/>
      </w:pPr>
      <w:r>
        <w:rPr>
          <w:rFonts w:ascii="Consolas" w:cs="Consolas" w:eastAsia="Consolas" w:hAnsi="Consolas"/>
          <w:color w:val="1F3864"/>
          <w:sz w:val="16"/>
          <w:szCs w:val="16"/>
        </w:rPr>
        <w:t xml:space="preserve">                        / T1 \        TIER 1 - NUCLEO</w:t>
      </w:r>
    </w:p>
    <w:p>
      <w:pPr>
        <w:shd w:fill="F2F2F2" w:val="clear"/>
        <w:spacing w:after="0" w:before="0"/>
      </w:pPr>
      <w:r>
        <w:rPr>
          <w:rFonts w:ascii="Consolas" w:cs="Consolas" w:eastAsia="Consolas" w:hAnsi="Consolas"/>
          <w:color w:val="1F3864"/>
          <w:sz w:val="16"/>
          <w:szCs w:val="16"/>
        </w:rPr>
        <w:t xml:space="preserve">                       /------\       (uso real ya</w:t>
      </w:r>
    </w:p>
    <w:p>
      <w:pPr>
        <w:shd w:fill="F2F2F2" w:val="clear"/>
        <w:spacing w:after="0" w:before="0"/>
      </w:pPr>
      <w:r>
        <w:rPr>
          <w:rFonts w:ascii="Consolas" w:cs="Consolas" w:eastAsia="Consolas" w:hAnsi="Consolas"/>
          <w:color w:val="1F3864"/>
          <w:sz w:val="16"/>
          <w:szCs w:val="16"/>
        </w:rPr>
        <w:t xml:space="preserve">                      /        \      implementado)</w:t>
      </w:r>
    </w:p>
    <w:p>
      <w:pPr>
        <w:shd w:fill="F2F2F2" w:val="clear"/>
        <w:spacing w:after="0" w:before="0"/>
      </w:pPr>
      <w:r>
        <w:rPr>
          <w:rFonts w:ascii="Consolas" w:cs="Consolas" w:eastAsia="Consolas" w:hAnsi="Consolas"/>
          <w:color w:val="1F3864"/>
          <w:sz w:val="16"/>
          <w:szCs w:val="16"/>
        </w:rPr>
        <w:t xml:space="preserve">                     /   T2     \</w:t>
      </w:r>
    </w:p>
    <w:p>
      <w:pPr>
        <w:shd w:fill="F2F2F2" w:val="clear"/>
        <w:spacing w:after="0" w:before="0"/>
      </w:pPr>
      <w:r>
        <w:rPr>
          <w:rFonts w:ascii="Consolas" w:cs="Consolas" w:eastAsia="Consolas" w:hAnsi="Consolas"/>
          <w:color w:val="1F3864"/>
          <w:sz w:val="16"/>
          <w:szCs w:val="16"/>
        </w:rPr>
        <w:t xml:space="preserve">                    /------------\    TIER 2 - APOYO</w:t>
      </w:r>
    </w:p>
    <w:p>
      <w:pPr>
        <w:shd w:fill="F2F2F2" w:val="clear"/>
        <w:spacing w:after="0" w:before="0"/>
      </w:pPr>
      <w:r>
        <w:rPr>
          <w:rFonts w:ascii="Consolas" w:cs="Consolas" w:eastAsia="Consolas" w:hAnsi="Consolas"/>
          <w:color w:val="1F3864"/>
          <w:sz w:val="16"/>
          <w:szCs w:val="16"/>
        </w:rPr>
        <w:t xml:space="preserve">                   /              \   (uso opcional /</w:t>
      </w:r>
    </w:p>
    <w:p>
      <w:pPr>
        <w:shd w:fill="F2F2F2" w:val="clear"/>
        <w:spacing w:after="0" w:before="0"/>
      </w:pPr>
      <w:r>
        <w:rPr>
          <w:rFonts w:ascii="Consolas" w:cs="Consolas" w:eastAsia="Consolas" w:hAnsi="Consolas"/>
          <w:color w:val="1F3864"/>
          <w:sz w:val="16"/>
          <w:szCs w:val="16"/>
        </w:rPr>
        <w:t xml:space="preserve">                  /      T3        \  proxima fase)</w:t>
      </w:r>
    </w:p>
    <w:p>
      <w:pPr>
        <w:shd w:fill="F2F2F2" w:val="clear"/>
        <w:spacing w:after="0" w:before="0"/>
      </w:pPr>
      <w:r>
        <w:rPr>
          <w:rFonts w:ascii="Consolas" w:cs="Consolas" w:eastAsia="Consolas" w:hAnsi="Consolas"/>
          <w:color w:val="1F3864"/>
          <w:sz w:val="16"/>
          <w:szCs w:val="16"/>
        </w:rPr>
        <w:t xml:space="preserve">                 /------------------\</w:t>
      </w:r>
    </w:p>
    <w:p>
      <w:pPr>
        <w:shd w:fill="F2F2F2" w:val="clear"/>
        <w:spacing w:after="0" w:before="0"/>
      </w:pPr>
      <w:r>
        <w:rPr>
          <w:rFonts w:ascii="Consolas" w:cs="Consolas" w:eastAsia="Consolas" w:hAnsi="Consolas"/>
          <w:color w:val="1F3864"/>
          <w:sz w:val="16"/>
          <w:szCs w:val="16"/>
        </w:rPr>
        <w:t xml:space="preserve">                /                    \ TIER 3 - REFERENCIA</w:t>
      </w:r>
    </w:p>
    <w:p>
      <w:pPr>
        <w:shd w:fill="F2F2F2" w:val="clear"/>
        <w:spacing w:after="0" w:before="0"/>
      </w:pPr>
      <w:r>
        <w:rPr>
          <w:rFonts w:ascii="Consolas" w:cs="Consolas" w:eastAsia="Consolas" w:hAnsi="Consolas"/>
          <w:color w:val="1F3864"/>
          <w:sz w:val="16"/>
          <w:szCs w:val="16"/>
        </w:rPr>
        <w:t xml:space="preserve">               /          T4          \(solo marco teorico)</w:t>
      </w:r>
    </w:p>
    <w:p>
      <w:pPr>
        <w:shd w:fill="F2F2F2" w:val="clear"/>
        <w:spacing w:after="0" w:before="0"/>
      </w:pPr>
      <w:r>
        <w:rPr>
          <w:rFonts w:ascii="Consolas" w:cs="Consolas" w:eastAsia="Consolas" w:hAnsi="Consolas"/>
          <w:color w:val="1F3864"/>
          <w:sz w:val="16"/>
          <w:szCs w:val="16"/>
        </w:rPr>
        <w:t xml:space="preserve">              /------------------------\</w:t>
      </w:r>
    </w:p>
    <w:p>
      <w:pPr>
        <w:shd w:fill="F2F2F2" w:val="clear"/>
        <w:spacing w:after="0" w:before="0"/>
      </w:pPr>
      <w:r>
        <w:rPr>
          <w:rFonts w:ascii="Consolas" w:cs="Consolas" w:eastAsia="Consolas" w:hAnsi="Consolas"/>
          <w:color w:val="1F3864"/>
          <w:sz w:val="16"/>
          <w:szCs w:val="16"/>
        </w:rPr>
        <w:t xml:space="preserve">             /                          \</w:t>
      </w:r>
    </w:p>
    <w:p>
      <w:pPr>
        <w:shd w:fill="F2F2F2" w:val="clear"/>
        <w:spacing w:after="0" w:before="0"/>
      </w:pPr>
      <w:r>
        <w:rPr>
          <w:rFonts w:ascii="Consolas" w:cs="Consolas" w:eastAsia="Consolas" w:hAnsi="Consolas"/>
          <w:color w:val="1F3864"/>
          <w:sz w:val="16"/>
          <w:szCs w:val="16"/>
        </w:rPr>
        <w:t xml:space="preserve">                                              TIER 4 - DESCARTADOS</w:t>
      </w:r>
    </w:p>
    <w:p>
      <w:pPr>
        <w:shd w:fill="F2F2F2" w:val="clear"/>
        <w:spacing w:after="0" w:before="0"/>
      </w:pPr>
      <w:r>
        <w:rPr>
          <w:rFonts w:ascii="Consolas" w:cs="Consolas" w:eastAsia="Consolas" w:hAnsi="Consolas"/>
          <w:color w:val="1F3864"/>
          <w:sz w:val="16"/>
          <w:szCs w:val="16"/>
        </w:rPr>
        <w:t xml:space="preserve">                                              (mencion y justificacion</w:t>
      </w:r>
    </w:p>
    <w:p>
      <w:pPr>
        <w:shd w:fill="F2F2F2" w:val="clear"/>
        <w:spacing w:after="0" w:before="0"/>
      </w:pPr>
      <w:r>
        <w:rPr>
          <w:rFonts w:ascii="Consolas" w:cs="Consolas" w:eastAsia="Consolas" w:hAnsi="Consolas"/>
          <w:color w:val="1F3864"/>
          <w:sz w:val="16"/>
          <w:szCs w:val="16"/>
        </w:rPr>
        <w:t xml:space="preserve">                                               de exclusion)</w:t>
      </w:r>
    </w:p>
    <w:p>
      <w:r>
        <w:rPr>
          <w:rFonts w:ascii="Arial" w:cs="Arial" w:eastAsia="Arial" w:hAnsi="Arial"/>
          <w:sz w:val="12"/>
          <w:szCs w:val="12"/>
        </w:rPr>
        <w:t xml:space="preserve"> </w:t>
      </w:r>
    </w:p>
    <w:p>
      <w:pPr>
        <w:pStyle w:val="Heading2"/>
      </w:pPr>
      <w:r>
        <w:rPr>
          <w:rFonts w:ascii="Arial" w:cs="Arial" w:eastAsia="Arial" w:hAnsi="Arial"/>
        </w:rPr>
        <w:t xml:space="preserve">Tier 1 — NÚCLEO: modelos efectivamente implementados</w:t>
      </w:r>
    </w:p>
    <w:p>
      <w:pPr>
        <w:spacing w:after="120"/>
      </w:pPr>
      <w:r>
        <w:rPr>
          <w:rFonts w:ascii="Arial" w:cs="Arial" w:eastAsia="Arial" w:hAnsi="Arial"/>
          <w:sz w:val="22"/>
          <w:szCs w:val="22"/>
        </w:rPr>
        <w:t xml:space="preserve">Estos son los modelos que producen los resultados reportados en los capítulos III y IV. Su prioridad es máxima porque la tesis se sostiene sobre ellos.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Modelo</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Función en la tesis</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Estado</w:t>
            </w:r>
          </w:p>
        </w:tc>
        <w:tc>
          <w:tcPr>
            <w:tcW w:type="dxa" w:w="2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Justificación de elección</w:t>
            </w:r>
          </w:p>
        </w:tc>
      </w:tr>
      <w:tr>
        <w:tc>
          <w:tcPr>
            <w:tcW w:type="dxa" w:w="20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Regex / reglas</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Capa 1: detección por palabras clave</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 Implementado</w:t>
            </w:r>
          </w:p>
        </w:tc>
        <w:tc>
          <w:tcPr>
            <w:tcW w:type="dxa" w:w="256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Determinista, sin entrenamiento, reproducible</w:t>
            </w:r>
          </w:p>
        </w:tc>
      </w:tr>
      <w:tr>
        <w:tc>
          <w:tcPr>
            <w:tcW w:type="dxa" w:w="20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 (Chapman 2001)</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Capa 2: filtro de contexto lingüístico</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 Implementado</w:t>
            </w:r>
          </w:p>
        </w:tc>
        <w:tc>
          <w:tcPr>
            <w:tcW w:type="dxa" w:w="256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Algoritmo estándar en NLP clínico; sube precisión 45% → 78%</w:t>
            </w:r>
          </w:p>
        </w:tc>
      </w:tr>
      <w:tr>
        <w:tc>
          <w:tcPr>
            <w:tcW w:type="dxa" w:w="20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BioBERT / ClinicalBERT</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Capa 3 futura: comprensión contextual</w:t>
            </w:r>
          </w:p>
        </w:tc>
        <w:tc>
          <w:tcPr>
            <w:tcW w:type="dxa" w:w="240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 Pendiente GPU</w:t>
            </w:r>
          </w:p>
        </w:tc>
        <w:tc>
          <w:tcPr>
            <w:tcW w:type="dxa" w:w="2560"/>
            <w:tcBorders>
              <w:top w:val="single" w:color="BFBFBF" w:sz="1"/>
              <w:left w:val="single" w:color="BFBFBF" w:sz="1"/>
              <w:bottom w:val="single" w:color="BFBFBF" w:sz="1"/>
              <w:right w:val="single" w:color="BFBFBF" w:sz="1"/>
            </w:tcBorders>
            <w:shd w:fill="C6E0B4"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Pre-entrenados en literatura biomédica / MIMIC-III; ideales para el dominio</w:t>
            </w:r>
          </w:p>
        </w:tc>
      </w:tr>
    </w:tbl>
    <w:p>
      <w:r>
        <w:rPr>
          <w:rFonts w:ascii="Arial" w:cs="Arial" w:eastAsia="Arial" w:hAnsi="Arial"/>
          <w:sz w:val="12"/>
          <w:szCs w:val="12"/>
        </w:rPr>
        <w:t xml:space="preserve"> </w:t>
      </w:r>
    </w:p>
    <w:p>
      <w:pPr>
        <w:pStyle w:val="Heading2"/>
      </w:pPr>
      <w:r>
        <w:rPr>
          <w:rFonts w:ascii="Arial" w:cs="Arial" w:eastAsia="Arial" w:hAnsi="Arial"/>
        </w:rPr>
        <w:t xml:space="preserve">Tier 2 — APOYO: modelos complementarios</w:t>
      </w:r>
    </w:p>
    <w:p>
      <w:pPr>
        <w:spacing w:after="120"/>
      </w:pPr>
      <w:r>
        <w:rPr>
          <w:rFonts w:ascii="Arial" w:cs="Arial" w:eastAsia="Arial" w:hAnsi="Arial"/>
          <w:sz w:val="22"/>
          <w:szCs w:val="22"/>
        </w:rPr>
        <w:t xml:space="preserve">Modelos del curso que pueden enriquecer el análisis pero no son centrales. Se usarán selectivamente si los resultados lo ameritan.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Modelo</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Función potencial</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Sesión curso</w:t>
            </w:r>
          </w:p>
        </w:tc>
        <w:tc>
          <w:tcPr>
            <w:tcW w:type="dxa" w:w="2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Cuándo conviene activarlos</w:t>
            </w:r>
          </w:p>
        </w:tc>
      </w:tr>
      <w:tr>
        <w:tc>
          <w:tcPr>
            <w:tcW w:type="dxa" w:w="20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LDA (Blei 2003)</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Descubrir agrupaciones temáticas en 331k epicrisis sin supervisión</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Sesión 2</w:t>
            </w:r>
          </w:p>
        </w:tc>
        <w:tc>
          <w:tcPr>
            <w:tcW w:type="dxa" w:w="256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Análisis exploratorio del corpus completo</w:t>
            </w:r>
          </w:p>
        </w:tc>
      </w:tr>
      <w:tr>
        <w:tc>
          <w:tcPr>
            <w:tcW w:type="dxa" w:w="20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Word2Vec (Mikolov 2013)</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Expandir patrones del mapeo con sinónimos clínicos por similitud vectorial</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Sesión 3</w:t>
            </w:r>
          </w:p>
        </w:tc>
        <w:tc>
          <w:tcPr>
            <w:tcW w:type="dxa" w:w="256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 la cobertura del mapeo ES↔EN queda corta</w:t>
            </w:r>
          </w:p>
        </w:tc>
      </w:tr>
      <w:tr>
        <w:tc>
          <w:tcPr>
            <w:tcW w:type="dxa" w:w="20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TF-IDF</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Clustering por similitud de notas; búsqueda de notas similares a un evento</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Sesión 2</w:t>
            </w:r>
          </w:p>
        </w:tc>
        <w:tc>
          <w:tcPr>
            <w:tcW w:type="dxa" w:w="256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Análisis comparativo y validación cruzada</w:t>
            </w:r>
          </w:p>
        </w:tc>
      </w:tr>
      <w:tr>
        <w:tc>
          <w:tcPr>
            <w:tcW w:type="dxa" w:w="20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GloVe (Pennington 2014)</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Alternativa a Word2Vec si se prefiere co-ocurrencia global</w:t>
            </w:r>
          </w:p>
        </w:tc>
        <w:tc>
          <w:tcPr>
            <w:tcW w:type="dxa" w:w="240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Sesión 4</w:t>
            </w:r>
          </w:p>
        </w:tc>
        <w:tc>
          <w:tcPr>
            <w:tcW w:type="dxa" w:w="2560"/>
            <w:tcBorders>
              <w:top w:val="single" w:color="BFBFBF" w:sz="1"/>
              <w:left w:val="single" w:color="BFBFBF" w:sz="1"/>
              <w:bottom w:val="single" w:color="BFBFBF" w:sz="1"/>
              <w:right w:val="single" w:color="BFBFBF" w:sz="1"/>
            </w:tcBorders>
            <w:shd w:fill="FFE699"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Solo si Word2Vec presenta limitaciones específicas</w:t>
            </w:r>
          </w:p>
        </w:tc>
      </w:tr>
    </w:tbl>
    <w:p>
      <w:r>
        <w:rPr>
          <w:rFonts w:ascii="Arial" w:cs="Arial" w:eastAsia="Arial" w:hAnsi="Arial"/>
          <w:sz w:val="12"/>
          <w:szCs w:val="12"/>
        </w:rPr>
        <w:t xml:space="preserve"> </w:t>
      </w:r>
    </w:p>
    <w:p>
      <w:pPr>
        <w:pStyle w:val="Heading2"/>
      </w:pPr>
      <w:r>
        <w:rPr>
          <w:rFonts w:ascii="Arial" w:cs="Arial" w:eastAsia="Arial" w:hAnsi="Arial"/>
        </w:rPr>
        <w:t xml:space="preserve">Tier 3 — REFERENCIA: presentes solo en Marco Teórico</w:t>
      </w:r>
    </w:p>
    <w:p>
      <w:pPr>
        <w:spacing w:after="120"/>
      </w:pPr>
      <w:r>
        <w:rPr>
          <w:rFonts w:ascii="Arial" w:cs="Arial" w:eastAsia="Arial" w:hAnsi="Arial"/>
          <w:sz w:val="22"/>
          <w:szCs w:val="22"/>
        </w:rPr>
        <w:t xml:space="preserve">Modelos que se discuten en el marco teórico para mostrar conocimiento del estado del arte, pero no se utilizan empíricamente.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Modelo</w:t>
            </w:r>
          </w:p>
        </w:tc>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Por qué se menciona</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Por qué no se usa</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N-gramas</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Modelos de lenguaje clásicos; base histórica</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Superados por embeddings y transformers para detección semántica</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HMM, Naïve Bayes</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Aproximaciones probabilísticas tradicionales</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Menor capacidad contextual que NegEx + BERT</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ELMo (Peters 2018)</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Primer embedding contextual; antecesor de BERT</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BERT lo supera en todas las tareas</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GPT-3/4, ChatGPT</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Estado del arte en LLMs generativos</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Cerrados, costosos, sin garantía clínica reproducible</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LLaMA, Mistral, Qwen</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LLMs open-source emergentes</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Requieren GPU H100; fuera del alcance de esta tesis</w:t>
            </w:r>
          </w:p>
        </w:tc>
      </w:tr>
      <w:tr>
        <w:tc>
          <w:tcPr>
            <w:tcW w:type="dxa" w:w="2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RAG (Lewis 2020)</w:t>
            </w:r>
          </w:p>
        </w:tc>
        <w:tc>
          <w:tcPr>
            <w:tcW w:type="dxa" w:w="400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Arquitectura híbrida prometedora</w:t>
            </w:r>
          </w:p>
        </w:tc>
        <w:tc>
          <w:tcPr>
            <w:tcW w:type="dxa" w:w="3360"/>
            <w:tcBorders>
              <w:top w:val="single" w:color="BFBFBF" w:sz="1"/>
              <w:left w:val="single" w:color="BFBFBF" w:sz="1"/>
              <w:bottom w:val="single" w:color="BFBFBF" w:sz="1"/>
              <w:right w:val="single" w:color="BFBFBF" w:sz="1"/>
            </w:tcBorders>
            <w:shd w:fill="DEEBF7"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Para fase posterior (sistema de consulta sobre el corpus)</w:t>
            </w:r>
          </w:p>
        </w:tc>
      </w:tr>
    </w:tbl>
    <w:p>
      <w:r>
        <w:rPr>
          <w:rFonts w:ascii="Arial" w:cs="Arial" w:eastAsia="Arial" w:hAnsi="Arial"/>
          <w:sz w:val="12"/>
          <w:szCs w:val="12"/>
        </w:rPr>
        <w:t xml:space="preserve"> </w:t>
      </w:r>
    </w:p>
    <w:p>
      <w:pPr>
        <w:pStyle w:val="Heading2"/>
      </w:pPr>
      <w:r>
        <w:rPr>
          <w:rFonts w:ascii="Arial" w:cs="Arial" w:eastAsia="Arial" w:hAnsi="Arial"/>
        </w:rPr>
        <w:t xml:space="preserve">Tier 4 — DESCARTADOS: con justificación explícita</w:t>
      </w:r>
    </w:p>
    <w:p>
      <w:pPr>
        <w:spacing w:after="120"/>
      </w:pPr>
      <w:r>
        <w:rPr>
          <w:rFonts w:ascii="Arial" w:cs="Arial" w:eastAsia="Arial" w:hAnsi="Arial"/>
          <w:sz w:val="22"/>
          <w:szCs w:val="22"/>
        </w:rPr>
        <w:t xml:space="preserve">Modelos cuya exclusión hay que justificar en la sustentación para anticipar preguntas del jurado.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Modelo descartado</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Justificación de exclusión</w:t>
            </w:r>
          </w:p>
        </w:tc>
      </w:tr>
      <w:tr>
        <w:tc>
          <w:tcPr>
            <w:tcW w:type="dxa" w:w="300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Fine-tuning de GPT-4</w:t>
            </w:r>
          </w:p>
        </w:tc>
        <w:tc>
          <w:tcPr>
            <w:tcW w:type="dxa" w:w="636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Costo por token, opacidad del modelo, no reproducible. Hospitalariamente no defensible.</w:t>
            </w:r>
          </w:p>
        </w:tc>
      </w:tr>
      <w:tr>
        <w:tc>
          <w:tcPr>
            <w:tcW w:type="dxa" w:w="300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Entrenamiento de BERT desde cero</w:t>
            </w:r>
          </w:p>
        </w:tc>
        <w:tc>
          <w:tcPr>
            <w:tcW w:type="dxa" w:w="636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Requiere ~10⁹ tokens y semanas de GPU. Innecesario habiendo ClinicalBERT pre-entrenado.</w:t>
            </w:r>
          </w:p>
        </w:tc>
      </w:tr>
      <w:tr>
        <w:tc>
          <w:tcPr>
            <w:tcW w:type="dxa" w:w="300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Modelos generativos para detección</w:t>
            </w:r>
          </w:p>
        </w:tc>
        <w:tc>
          <w:tcPr>
            <w:tcW w:type="dxa" w:w="636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GPT como detector tiene tasa de alucinación incompatible con uso clínico (~5-15% en literatura).</w:t>
            </w:r>
          </w:p>
        </w:tc>
      </w:tr>
      <w:tr>
        <w:tc>
          <w:tcPr>
            <w:tcW w:type="dxa" w:w="300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automática del corpus a castellano</w:t>
            </w:r>
          </w:p>
        </w:tc>
        <w:tc>
          <w:tcPr>
            <w:tcW w:type="dxa" w:w="6360"/>
            <w:tcBorders>
              <w:top w:val="single" w:color="BFBFBF" w:sz="1"/>
              <w:left w:val="single" w:color="BFBFBF" w:sz="1"/>
              <w:bottom w:val="single" w:color="BFBFBF" w:sz="1"/>
              <w:right w:val="single" w:color="BFBFBF" w:sz="1"/>
            </w:tcBorders>
            <w:shd w:fill="F8CBAD"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 capa adicional de error; introduce sesgo. Preferible mapeo dirigido ES↔EN.</w:t>
            </w:r>
          </w:p>
        </w:tc>
      </w:tr>
    </w:tbl>
    <w:p>
      <w:r>
        <w:br w:type="page"/>
      </w:r>
    </w:p>
    <w:p>
      <w:pPr>
        <w:pStyle w:val="Heading1"/>
      </w:pPr>
      <w:r>
        <w:rPr>
          <w:rFonts w:ascii="Arial" w:cs="Arial" w:eastAsia="Arial" w:hAnsi="Arial"/>
        </w:rPr>
        <w:t xml:space="preserve">2.1 El Procesamiento del Lenguaje Natural</w:t>
      </w:r>
    </w:p>
    <w:p>
      <w:pPr>
        <w:pStyle w:val="Heading2"/>
      </w:pPr>
      <w:r>
        <w:rPr>
          <w:rFonts w:ascii="Arial" w:cs="Arial" w:eastAsia="Arial" w:hAnsi="Arial"/>
        </w:rPr>
        <w:t xml:space="preserve">2.1.1 Definición</w:t>
      </w:r>
    </w:p>
    <w:p>
      <w:pPr>
        <w:spacing w:after="120"/>
      </w:pPr>
      <w:r>
        <w:rPr>
          <w:rFonts w:ascii="Arial" w:cs="Arial" w:eastAsia="Arial" w:hAnsi="Arial"/>
          <w:sz w:val="22"/>
          <w:szCs w:val="22"/>
        </w:rPr>
        <w:t xml:space="preserve">El Procesamiento del Lenguaje Natural (PLN) es el campo de la Inteligencia Artificial dedicado a que las máquinas puedan entender, interpretar y generar lenguaje humano (Dr. Wester Zela, Sesión 1 MIA-NLP, 2026; Jurafsky y Martin, 2024). En el contexto de la salud, el PLN permite extraer información estructurada de fuentes no estructuradas como las epicrisis, abriendo oportunidades para la gestión proactiva de la calidad y la seguridad del paciente (Demner-Fushman et al., 2009).</w:t>
      </w:r>
    </w:p>
    <w:p>
      <w:r>
        <w:rPr>
          <w:rFonts w:ascii="Arial" w:cs="Arial" w:eastAsia="Arial" w:hAnsi="Arial"/>
          <w:sz w:val="12"/>
          <w:szCs w:val="12"/>
        </w:rPr>
        <w:t xml:space="preserve"> </w:t>
      </w:r>
    </w:p>
    <w:p>
      <w:pPr>
        <w:pStyle w:val="Heading2"/>
      </w:pPr>
      <w:r>
        <w:rPr>
          <w:rFonts w:ascii="Arial" w:cs="Arial" w:eastAsia="Arial" w:hAnsi="Arial"/>
        </w:rPr>
        <w:t xml:space="preserve">2.1.2 Evolución histórica del PLN</w:t>
      </w:r>
    </w:p>
    <w:p>
      <w:pPr>
        <w:spacing w:after="120"/>
      </w:pPr>
      <w:r>
        <w:rPr>
          <w:rFonts w:ascii="Arial" w:cs="Arial" w:eastAsia="Arial" w:hAnsi="Arial"/>
          <w:sz w:val="22"/>
          <w:szCs w:val="22"/>
        </w:rPr>
        <w:t xml:space="preserve">La evolución del PLN puede estructurarse en cuatro grandes etapas (basado en Sesión 1, MIA-NLP):</w:t>
      </w:r>
    </w:p>
    <w:p>
      <w:pPr>
        <w:pStyle w:val="ListParagraph"/>
        <w:numPr>
          <w:ilvl w:val="0"/>
          <w:numId w:val="2"/>
        </w:numPr>
        <w:spacing w:after="60"/>
      </w:pPr>
      <w:r>
        <w:rPr>
          <w:rFonts w:ascii="Arial" w:cs="Arial" w:eastAsia="Arial" w:hAnsi="Arial"/>
          <w:sz w:val="22"/>
          <w:szCs w:val="22"/>
        </w:rPr>
        <w:t xml:space="preserve">Era simbólica (1950-1990): sistemas basados en reglas y conocimiento lingüístico explícito; ejemplos: SHRDLU, ALPAC, EUROTRA.</w:t>
      </w:r>
    </w:p>
    <w:p>
      <w:pPr>
        <w:pStyle w:val="ListParagraph"/>
        <w:numPr>
          <w:ilvl w:val="0"/>
          <w:numId w:val="2"/>
        </w:numPr>
        <w:spacing w:after="60"/>
      </w:pPr>
      <w:r>
        <w:rPr>
          <w:rFonts w:ascii="Arial" w:cs="Arial" w:eastAsia="Arial" w:hAnsi="Arial"/>
          <w:sz w:val="22"/>
          <w:szCs w:val="22"/>
        </w:rPr>
        <w:t xml:space="preserve">Era estadística (1990-2010): modelos basados en frecuencias; n-gramas, HMM, Naïve Bayes; aparición de WordNet (2003).</w:t>
      </w:r>
    </w:p>
    <w:p>
      <w:pPr>
        <w:pStyle w:val="ListParagraph"/>
        <w:numPr>
          <w:ilvl w:val="0"/>
          <w:numId w:val="2"/>
        </w:numPr>
        <w:spacing w:after="60"/>
      </w:pPr>
      <w:r>
        <w:rPr>
          <w:rFonts w:ascii="Arial" w:cs="Arial" w:eastAsia="Arial" w:hAnsi="Arial"/>
          <w:sz w:val="22"/>
          <w:szCs w:val="22"/>
        </w:rPr>
        <w:t xml:space="preserve">Era de embeddings (2013-2018): representaciones vectoriales densas que capturan similitud semántica; Word2Vec, GloVe, FastText.</w:t>
      </w:r>
    </w:p>
    <w:p>
      <w:pPr>
        <w:pStyle w:val="ListParagraph"/>
        <w:numPr>
          <w:ilvl w:val="0"/>
          <w:numId w:val="2"/>
        </w:numPr>
        <w:spacing w:after="60"/>
      </w:pPr>
      <w:r>
        <w:rPr>
          <w:rFonts w:ascii="Arial" w:cs="Arial" w:eastAsia="Arial" w:hAnsi="Arial"/>
          <w:sz w:val="22"/>
          <w:szCs w:val="22"/>
        </w:rPr>
        <w:t xml:space="preserve">Era de transformers (2018-actualidad): arquitecturas basadas en atención que capturan dependencias de largo alcance; BERT, GPT, T5, LLaMA, Claude.</w:t>
      </w:r>
    </w:p>
    <w:p>
      <w:r>
        <w:rPr>
          <w:rFonts w:ascii="Arial" w:cs="Arial" w:eastAsia="Arial" w:hAnsi="Arial"/>
          <w:sz w:val="12"/>
          <w:szCs w:val="12"/>
        </w:rPr>
        <w:t xml:space="preserve"> </w:t>
      </w:r>
    </w:p>
    <w:p>
      <w:pPr>
        <w:spacing w:after="120"/>
      </w:pPr>
      <w:r>
        <w:rPr>
          <w:rFonts w:ascii="Arial" w:cs="Arial" w:eastAsia="Arial" w:hAnsi="Arial"/>
          <w:sz w:val="22"/>
          <w:szCs w:val="22"/>
        </w:rPr>
        <w:t xml:space="preserve">Durante el periodo 2018-2023, los modelos de lenguaje crecieron aproximadamente 15,500 veces en cantidad de parámetros, muy por encima de la ley de Moore (Sesión 1, MIA-NLP). Este crecimiento exponencial transformó al campo: hoy un modelo como GPT-4 o PaLM 2 supera los 100,000 millones de parámetros, mientras que BERT-base tenía 110 millones cuando se publicó en 2019.</w:t>
      </w:r>
    </w:p>
    <w:p>
      <w:r>
        <w:br w:type="page"/>
      </w:r>
    </w:p>
    <w:p>
      <w:pPr>
        <w:pStyle w:val="Heading1"/>
      </w:pPr>
      <w:r>
        <w:rPr>
          <w:rFonts w:ascii="Arial" w:cs="Arial" w:eastAsia="Arial" w:hAnsi="Arial"/>
        </w:rPr>
        <w:t xml:space="preserve">2.2 Técnicas clásicas relevantes para la detección de eventos</w:t>
      </w:r>
    </w:p>
    <w:p>
      <w:pPr>
        <w:pStyle w:val="Heading2"/>
      </w:pPr>
      <w:r>
        <w:rPr>
          <w:rFonts w:ascii="Arial" w:cs="Arial" w:eastAsia="Arial" w:hAnsi="Arial"/>
        </w:rPr>
        <w:t xml:space="preserve">2.2.1 Expresiones regulares (regex) y reglas de palabras clave</w:t>
      </w:r>
    </w:p>
    <w:p>
      <w:pPr>
        <w:spacing w:after="120"/>
      </w:pPr>
      <w:r>
        <w:rPr>
          <w:rFonts w:ascii="Arial" w:cs="Arial" w:eastAsia="Arial" w:hAnsi="Arial"/>
          <w:sz w:val="22"/>
          <w:szCs w:val="22"/>
        </w:rPr>
        <w:t xml:space="preserve">La detección por reglas continúa siendo la primera capa en sistemas clínicos por su determinismo y reproducibilidad. En esta tesis se implementa una capa de detección con 186 patrones de inglés clínico mapeados a 51 eventos del Anexo 2 de la Directiva ERSP de EsSalud (Capítulo III). El enfoque sigue la lógica de las labeling functions del paradigma de weak supervision (Ratner et al., 2017).</w:t>
      </w:r>
    </w:p>
    <w:p>
      <w:r>
        <w:rPr>
          <w:rFonts w:ascii="Arial" w:cs="Arial" w:eastAsia="Arial" w:hAnsi="Arial"/>
          <w:sz w:val="12"/>
          <w:szCs w:val="12"/>
        </w:rPr>
        <w:t xml:space="preserve"> </w:t>
      </w:r>
    </w:p>
    <w:p>
      <w:pPr>
        <w:pStyle w:val="Heading2"/>
      </w:pPr>
      <w:r>
        <w:rPr>
          <w:rFonts w:ascii="Arial" w:cs="Arial" w:eastAsia="Arial" w:hAnsi="Arial"/>
        </w:rPr>
        <w:t xml:space="preserve">2.2.2 Modelos de n-gramas</w:t>
      </w:r>
    </w:p>
    <w:p>
      <w:pPr>
        <w:spacing w:after="120"/>
      </w:pPr>
      <w:r>
        <w:rPr>
          <w:rFonts w:ascii="Arial" w:cs="Arial" w:eastAsia="Arial" w:hAnsi="Arial"/>
          <w:sz w:val="22"/>
          <w:szCs w:val="22"/>
        </w:rPr>
        <w:t xml:space="preserve">Un n-grama es una secuencia de n palabras consecutivas. El modelado por n-gramas (Jurafsky y Martin, 2024) permite calcular la probabilidad de aparición de una palabra dada su historia inmediata. Su uso en la tesis es referencial: no se aplica directamente porque los embeddings contextuales modernos superan ampliamente esta aproximación en tareas de detección semántica.</w:t>
      </w:r>
    </w:p>
    <w:p>
      <w:r>
        <w:rPr>
          <w:rFonts w:ascii="Arial" w:cs="Arial" w:eastAsia="Arial" w:hAnsi="Arial"/>
          <w:sz w:val="12"/>
          <w:szCs w:val="12"/>
        </w:rPr>
        <w:t xml:space="preserve"> </w:t>
      </w:r>
    </w:p>
    <w:p>
      <w:pPr>
        <w:pStyle w:val="Heading2"/>
      </w:pPr>
      <w:r>
        <w:rPr>
          <w:rFonts w:ascii="Arial" w:cs="Arial" w:eastAsia="Arial" w:hAnsi="Arial"/>
        </w:rPr>
        <w:t xml:space="preserve">2.2.3 TF-IDF</w:t>
      </w:r>
    </w:p>
    <w:p>
      <w:pPr>
        <w:spacing w:after="120"/>
      </w:pPr>
      <w:r>
        <w:rPr>
          <w:rFonts w:ascii="Arial" w:cs="Arial" w:eastAsia="Arial" w:hAnsi="Arial"/>
          <w:sz w:val="22"/>
          <w:szCs w:val="22"/>
        </w:rPr>
        <w:t xml:space="preserve">Term Frequency–Inverse Document Frequency (Salton y Buckley, 1988) pondera la importancia de un término en un documento dado un corpus de referencia. Su utilidad en esta tesis es exploratoria: caracterizar términos distintivos por naturaleza de evento adverso, y potencialmente identificar epicrisis similares a casos validados como verdaderos positivos.</w:t>
      </w:r>
    </w:p>
    <w:p>
      <w:r>
        <w:rPr>
          <w:rFonts w:ascii="Arial" w:cs="Arial" w:eastAsia="Arial" w:hAnsi="Arial"/>
          <w:sz w:val="12"/>
          <w:szCs w:val="12"/>
        </w:rPr>
        <w:t xml:space="preserve"> </w:t>
      </w:r>
    </w:p>
    <w:p>
      <w:pPr>
        <w:pStyle w:val="Heading2"/>
      </w:pPr>
      <w:r>
        <w:rPr>
          <w:rFonts w:ascii="Arial" w:cs="Arial" w:eastAsia="Arial" w:hAnsi="Arial"/>
        </w:rPr>
        <w:t xml:space="preserve">2.2.4 Latent Dirichlet Allocation (LDA)</w:t>
      </w:r>
    </w:p>
    <w:p>
      <w:pPr>
        <w:spacing w:after="120"/>
      </w:pPr>
      <w:r>
        <w:rPr>
          <w:rFonts w:ascii="Arial" w:cs="Arial" w:eastAsia="Arial" w:hAnsi="Arial"/>
          <w:sz w:val="22"/>
          <w:szCs w:val="22"/>
        </w:rPr>
        <w:t xml:space="preserve">LDA (Blei, Ng y Jordan, 2003) es un modelo probabilístico generativo que asume que cada documento es una mezcla de tópicos latentes, y cada tópico es una distribución de palabras. En esta tesis se contempla su uso exploratorio sobre el corpus completo de 331,793 epicrisis MIMIC-IV para descubrir agrupaciones temáticas no supervisadas, complementando la detección dirigida por el Anexo 2.</w:t>
      </w:r>
    </w:p>
    <w:p>
      <w:r>
        <w:br w:type="page"/>
      </w:r>
    </w:p>
    <w:p>
      <w:pPr>
        <w:pStyle w:val="Heading1"/>
      </w:pPr>
      <w:r>
        <w:rPr>
          <w:rFonts w:ascii="Arial" w:cs="Arial" w:eastAsia="Arial" w:hAnsi="Arial"/>
        </w:rPr>
        <w:t xml:space="preserve">2.3 Representaciones vectoriales de palabras</w:t>
      </w:r>
    </w:p>
    <w:p>
      <w:pPr>
        <w:pStyle w:val="Heading2"/>
      </w:pPr>
      <w:r>
        <w:rPr>
          <w:rFonts w:ascii="Arial" w:cs="Arial" w:eastAsia="Arial" w:hAnsi="Arial"/>
        </w:rPr>
        <w:t xml:space="preserve">2.3.1 Word2Vec</w:t>
      </w:r>
    </w:p>
    <w:p>
      <w:pPr>
        <w:spacing w:after="120"/>
      </w:pPr>
      <w:r>
        <w:rPr>
          <w:rFonts w:ascii="Arial" w:cs="Arial" w:eastAsia="Arial" w:hAnsi="Arial"/>
          <w:sz w:val="22"/>
          <w:szCs w:val="22"/>
        </w:rPr>
        <w:t xml:space="preserve">Word2Vec (Mikolov, Chen, Corrado y Dean, 2013) introdujo dos arquitecturas para aprender embeddings de palabras a partir de grandes corpus: Continuous Bag of Words (CBOW), que predice una palabra a partir de su contexto, y Skip-gram, que hace lo inverso. Ambos producen vectores densos donde palabras con significados similares quedan próximas en el espacio vectorial. En esta tesis se contempla su uso para expandir patrones del mapeo ES↔EN del Anexo 2 a partir de sinónimos clínicos detectados por similitud.</w:t>
      </w:r>
    </w:p>
    <w:p>
      <w:r>
        <w:rPr>
          <w:rFonts w:ascii="Arial" w:cs="Arial" w:eastAsia="Arial" w:hAnsi="Arial"/>
          <w:sz w:val="12"/>
          <w:szCs w:val="12"/>
        </w:rPr>
        <w:t xml:space="preserve"> </w:t>
      </w:r>
    </w:p>
    <w:p>
      <w:pPr>
        <w:pStyle w:val="Heading2"/>
      </w:pPr>
      <w:r>
        <w:rPr>
          <w:rFonts w:ascii="Arial" w:cs="Arial" w:eastAsia="Arial" w:hAnsi="Arial"/>
        </w:rPr>
        <w:t xml:space="preserve">2.3.2 GloVe</w:t>
      </w:r>
    </w:p>
    <w:p>
      <w:pPr>
        <w:spacing w:after="120"/>
      </w:pPr>
      <w:r>
        <w:rPr>
          <w:rFonts w:ascii="Arial" w:cs="Arial" w:eastAsia="Arial" w:hAnsi="Arial"/>
          <w:sz w:val="22"/>
          <w:szCs w:val="22"/>
        </w:rPr>
        <w:t xml:space="preserve">GloVe (Pennington, Socher y Manning, 2014) construye embeddings a partir de la matriz de co-ocurrencia global del corpus, combinando ventajas de los métodos basados en conteo y los basados en predicción. Es una alternativa a Word2Vec con propiedades similares para los fines de esta tesis.</w:t>
      </w:r>
    </w:p>
    <w:p>
      <w:r>
        <w:rPr>
          <w:rFonts w:ascii="Arial" w:cs="Arial" w:eastAsia="Arial" w:hAnsi="Arial"/>
          <w:sz w:val="12"/>
          <w:szCs w:val="12"/>
        </w:rPr>
        <w:t xml:space="preserve"> </w:t>
      </w:r>
    </w:p>
    <w:p>
      <w:pPr>
        <w:pStyle w:val="Heading2"/>
      </w:pPr>
      <w:r>
        <w:rPr>
          <w:rFonts w:ascii="Arial" w:cs="Arial" w:eastAsia="Arial" w:hAnsi="Arial"/>
        </w:rPr>
        <w:t xml:space="preserve">2.3.3 Limitaciones de los embeddings estáticos</w:t>
      </w:r>
    </w:p>
    <w:p>
      <w:pPr>
        <w:spacing w:after="120"/>
      </w:pPr>
      <w:r>
        <w:rPr>
          <w:rFonts w:ascii="Arial" w:cs="Arial" w:eastAsia="Arial" w:hAnsi="Arial"/>
          <w:sz w:val="22"/>
          <w:szCs w:val="22"/>
        </w:rPr>
        <w:t xml:space="preserve">Word2Vec y GloVe producen un único vector por palabra, sin diferenciar sentidos contextuales. Una palabra como "discharge" tiene el mismo vector tanto si refiere al alta del paciente como a una secreción clínica. Esta limitación es resuelta por los embeddings contextuales (ELMo, BERT) que producen un vector diferente según la oración en la que aparece el término.</w:t>
      </w:r>
    </w:p>
    <w:p>
      <w:r>
        <w:br w:type="page"/>
      </w:r>
    </w:p>
    <w:p>
      <w:pPr>
        <w:pStyle w:val="Heading1"/>
      </w:pPr>
      <w:r>
        <w:rPr>
          <w:rFonts w:ascii="Arial" w:cs="Arial" w:eastAsia="Arial" w:hAnsi="Arial"/>
        </w:rPr>
        <w:t xml:space="preserve">2.4 Modelos contextuales basados en transformers</w:t>
      </w:r>
    </w:p>
    <w:p>
      <w:pPr>
        <w:pStyle w:val="Heading2"/>
      </w:pPr>
      <w:r>
        <w:rPr>
          <w:rFonts w:ascii="Arial" w:cs="Arial" w:eastAsia="Arial" w:hAnsi="Arial"/>
        </w:rPr>
        <w:t xml:space="preserve">2.4.1 BERT</w:t>
      </w:r>
    </w:p>
    <w:p>
      <w:pPr>
        <w:spacing w:after="120"/>
      </w:pPr>
      <w:r>
        <w:rPr>
          <w:rFonts w:ascii="Arial" w:cs="Arial" w:eastAsia="Arial" w:hAnsi="Arial"/>
          <w:sz w:val="22"/>
          <w:szCs w:val="22"/>
        </w:rPr>
        <w:t xml:space="preserve">BERT (Bidirectional Encoder Representations from Transformers, Devlin et al., 2019) es un modelo basado en la arquitectura Transformer (Vaswani et al., 2017) pre-entrenado mediante dos tareas: Masked Language Modeling (predecir palabras enmascaradas) y Next Sentence Prediction. La bidireccionalidad permite que cada token sea representado teniendo en cuenta tanto el contexto izquierdo como derecho, superando ampliamente las representaciones estáticas.</w:t>
      </w:r>
    </w:p>
    <w:p>
      <w:r>
        <w:rPr>
          <w:rFonts w:ascii="Arial" w:cs="Arial" w:eastAsia="Arial" w:hAnsi="Arial"/>
          <w:sz w:val="12"/>
          <w:szCs w:val="12"/>
        </w:rPr>
        <w:t xml:space="preserve"> </w:t>
      </w:r>
    </w:p>
    <w:p>
      <w:pPr>
        <w:pStyle w:val="Heading2"/>
      </w:pPr>
      <w:r>
        <w:rPr>
          <w:rFonts w:ascii="Arial" w:cs="Arial" w:eastAsia="Arial" w:hAnsi="Arial"/>
        </w:rPr>
        <w:t xml:space="preserve">2.4.2 BioBERT</w:t>
      </w:r>
    </w:p>
    <w:p>
      <w:pPr>
        <w:spacing w:after="120"/>
      </w:pPr>
      <w:r>
        <w:rPr>
          <w:rFonts w:ascii="Arial" w:cs="Arial" w:eastAsia="Arial" w:hAnsi="Arial"/>
          <w:sz w:val="22"/>
          <w:szCs w:val="22"/>
        </w:rPr>
        <w:t xml:space="preserve">BioBERT (Lee et al., 2020) es una adaptación de BERT pre-entrenada adicionalmente sobre PubMed y PMC, mejorando significativamente el desempeño en tareas biomédicas como reconocimiento de entidades médicas y extracción de relaciones.</w:t>
      </w:r>
    </w:p>
    <w:p>
      <w:r>
        <w:rPr>
          <w:rFonts w:ascii="Arial" w:cs="Arial" w:eastAsia="Arial" w:hAnsi="Arial"/>
          <w:sz w:val="12"/>
          <w:szCs w:val="12"/>
        </w:rPr>
        <w:t xml:space="preserve"> </w:t>
      </w:r>
    </w:p>
    <w:p>
      <w:pPr>
        <w:pStyle w:val="Heading2"/>
      </w:pPr>
      <w:r>
        <w:rPr>
          <w:rFonts w:ascii="Arial" w:cs="Arial" w:eastAsia="Arial" w:hAnsi="Arial"/>
        </w:rPr>
        <w:t xml:space="preserve">2.4.3 ClinicalBERT</w:t>
      </w:r>
    </w:p>
    <w:p>
      <w:pPr>
        <w:spacing w:after="120"/>
      </w:pPr>
      <w:r>
        <w:rPr>
          <w:rFonts w:ascii="Arial" w:cs="Arial" w:eastAsia="Arial" w:hAnsi="Arial"/>
          <w:sz w:val="22"/>
          <w:szCs w:val="22"/>
        </w:rPr>
        <w:t xml:space="preserve">ClinicalBERT (Alsentzer et al., 2019) extiende BERT con pre-entrenamiento sobre notas clínicas de MIMIC-III. Dado que esta tesis trabaja con MIMIC-IV, ClinicalBERT es particularmente alineado al dominio y constituye el modelo natural para la siguiente fase del trabajo, condicional a la disponibilidad de un entorno con GPU.</w:t>
      </w:r>
    </w:p>
    <w:p>
      <w:r>
        <w:rPr>
          <w:rFonts w:ascii="Arial" w:cs="Arial" w:eastAsia="Arial" w:hAnsi="Arial"/>
          <w:sz w:val="12"/>
          <w:szCs w:val="12"/>
        </w:rPr>
        <w:t xml:space="preserve"> </w:t>
      </w:r>
    </w:p>
    <w:p>
      <w:pPr>
        <w:pStyle w:val="Heading2"/>
      </w:pPr>
      <w:r>
        <w:rPr>
          <w:rFonts w:ascii="Arial" w:cs="Arial" w:eastAsia="Arial" w:hAnsi="Arial"/>
        </w:rPr>
        <w:t xml:space="preserve">2.4.4 Otras variantes biomédicas</w:t>
      </w:r>
    </w:p>
    <w:p>
      <w:pPr>
        <w:spacing w:after="120"/>
      </w:pPr>
      <w:r>
        <w:rPr>
          <w:rFonts w:ascii="Arial" w:cs="Arial" w:eastAsia="Arial" w:hAnsi="Arial"/>
          <w:sz w:val="22"/>
          <w:szCs w:val="22"/>
        </w:rPr>
        <w:t xml:space="preserve">BlueBERT (Peng, Yan y Lu, 2019) combina pre-entrenamiento sobre PubMed y MIMIC-III. PubMedBERT (Gu et al., 2021) fue entrenado desde cero exclusivamente con literatura biomédica, sin pasar por BERT-base. Cualquiera de estos podría sustituir a ClinicalBERT en la fase siguiente si los resultados lo ameritan.</w:t>
      </w:r>
    </w:p>
    <w:p>
      <w:r>
        <w:br w:type="page"/>
      </w:r>
    </w:p>
    <w:p>
      <w:pPr>
        <w:pStyle w:val="Heading1"/>
      </w:pPr>
      <w:r>
        <w:rPr>
          <w:rFonts w:ascii="Arial" w:cs="Arial" w:eastAsia="Arial" w:hAnsi="Arial"/>
        </w:rPr>
        <w:t xml:space="preserve">2.5 PLN aplicado al dominio clínico</w:t>
      </w:r>
    </w:p>
    <w:p>
      <w:pPr>
        <w:pStyle w:val="Heading2"/>
      </w:pPr>
      <w:r>
        <w:rPr>
          <w:rFonts w:ascii="Arial" w:cs="Arial" w:eastAsia="Arial" w:hAnsi="Arial"/>
        </w:rPr>
        <w:t xml:space="preserve">2.5.1 Particularidades de las notas clínicas</w:t>
      </w:r>
    </w:p>
    <w:p>
      <w:pPr>
        <w:spacing w:after="120"/>
      </w:pPr>
      <w:r>
        <w:rPr>
          <w:rFonts w:ascii="Arial" w:cs="Arial" w:eastAsia="Arial" w:hAnsi="Arial"/>
          <w:sz w:val="22"/>
          <w:szCs w:val="22"/>
        </w:rPr>
        <w:t xml:space="preserve">Las epicrisis presentan retos específicos que los textos generales no tienen (Demner-Fushman et al., 2009): abreviaciones múltiples y no estandarizadas, sintaxis telegráfica, presencia masiva de negaciones, mezcla de hallazgos confirmados con hipotéticos y descartados, referencias a antecedentes del paciente y familia. Estos retos motivan algoritmos específicos como NegEx.</w:t>
      </w:r>
    </w:p>
    <w:p>
      <w:r>
        <w:rPr>
          <w:rFonts w:ascii="Arial" w:cs="Arial" w:eastAsia="Arial" w:hAnsi="Arial"/>
          <w:sz w:val="12"/>
          <w:szCs w:val="12"/>
        </w:rPr>
        <w:t xml:space="preserve"> </w:t>
      </w:r>
    </w:p>
    <w:p>
      <w:pPr>
        <w:pStyle w:val="Heading2"/>
      </w:pPr>
      <w:r>
        <w:rPr>
          <w:rFonts w:ascii="Arial" w:cs="Arial" w:eastAsia="Arial" w:hAnsi="Arial"/>
        </w:rPr>
        <w:t xml:space="preserve">2.5.2 Detección automatizada de eventos adversos</w:t>
      </w:r>
    </w:p>
    <w:p>
      <w:pPr>
        <w:spacing w:after="120"/>
      </w:pPr>
      <w:r>
        <w:rPr>
          <w:rFonts w:ascii="Arial" w:cs="Arial" w:eastAsia="Arial" w:hAnsi="Arial"/>
          <w:sz w:val="22"/>
          <w:szCs w:val="22"/>
        </w:rPr>
        <w:t xml:space="preserve">Murff et al. (2011) demostraron que el PLN podía detectar complicaciones postoperatorias en notas clínicas con sensibilidades entre 0.59 y 0.97 y especificidades entre 0.71 y 1.00 según el tipo de evento. Su trabajo es citado como precedente directo del enfoque adoptado en esta tesis.</w:t>
      </w:r>
    </w:p>
    <w:p>
      <w:r>
        <w:rPr>
          <w:rFonts w:ascii="Arial" w:cs="Arial" w:eastAsia="Arial" w:hAnsi="Arial"/>
          <w:sz w:val="12"/>
          <w:szCs w:val="12"/>
        </w:rPr>
        <w:t xml:space="preserve"> </w:t>
      </w:r>
    </w:p>
    <w:p>
      <w:pPr>
        <w:pStyle w:val="Heading2"/>
      </w:pPr>
      <w:r>
        <w:rPr>
          <w:rFonts w:ascii="Arial" w:cs="Arial" w:eastAsia="Arial" w:hAnsi="Arial"/>
        </w:rPr>
        <w:t xml:space="preserve">2.5.3 El algoritmo NegEx</w:t>
      </w:r>
    </w:p>
    <w:p>
      <w:pPr>
        <w:spacing w:after="120"/>
      </w:pPr>
      <w:r>
        <w:rPr>
          <w:rFonts w:ascii="Arial" w:cs="Arial" w:eastAsia="Arial" w:hAnsi="Arial"/>
          <w:sz w:val="22"/>
          <w:szCs w:val="22"/>
        </w:rPr>
        <w:t xml:space="preserve">NegEx (Chapman, Bridewell, Hanbury, Cooper y Buchanan, 2001) es el algoritmo estándar para identificar menciones negadas, hipotéticas e históricas en discharge summaries. Opera mediante listas de palabras-trigger y ventanas de tokens alrededor del término detectado. En esta tesis, una implementación en Python puro (versión 0.3) eleva la precisión del baseline de detección por palabras clave del 45% al 77.8%.</w:t>
      </w:r>
    </w:p>
    <w:p>
      <w:r>
        <w:rPr>
          <w:rFonts w:ascii="Arial" w:cs="Arial" w:eastAsia="Arial" w:hAnsi="Arial"/>
          <w:sz w:val="12"/>
          <w:szCs w:val="12"/>
        </w:rPr>
        <w:t xml:space="preserve"> </w:t>
      </w:r>
    </w:p>
    <w:p>
      <w:pPr>
        <w:pStyle w:val="Heading2"/>
      </w:pPr>
      <w:r>
        <w:rPr>
          <w:rFonts w:ascii="Arial" w:cs="Arial" w:eastAsia="Arial" w:hAnsi="Arial"/>
        </w:rPr>
        <w:t xml:space="preserve">2.5.4 Weak supervision con labeling functions</w:t>
      </w:r>
    </w:p>
    <w:p>
      <w:pPr>
        <w:spacing w:after="120"/>
      </w:pPr>
      <w:r>
        <w:rPr>
          <w:rFonts w:ascii="Arial" w:cs="Arial" w:eastAsia="Arial" w:hAnsi="Arial"/>
          <w:sz w:val="22"/>
          <w:szCs w:val="22"/>
        </w:rPr>
        <w:t xml:space="preserve">El paradigma de weak supervision (Ratner et al., 2017) permite construir corpus etiquetados a gran escala combinando múltiples labeling functions ruidosas. En esta tesis cada uno de los 51 eventos del mapeo Anexo 2 ↔ inglés funciona como una labeling function. La combinación con el filtro NegEx y la validación experta sigue el espíritu del marco propuesto por Snorkel.</w:t>
      </w:r>
    </w:p>
    <w:p>
      <w:r>
        <w:br w:type="page"/>
      </w:r>
    </w:p>
    <w:p>
      <w:pPr>
        <w:pStyle w:val="Heading1"/>
      </w:pPr>
      <w:r>
        <w:rPr>
          <w:rFonts w:ascii="Arial" w:cs="Arial" w:eastAsia="Arial" w:hAnsi="Arial"/>
        </w:rPr>
        <w:t xml:space="preserve">2.6 Modelo GEMSES y la Directiva ERSP de EsSalud</w:t>
      </w:r>
    </w:p>
    <w:p>
      <w:pPr>
        <w:spacing w:after="120"/>
      </w:pPr>
      <w:r>
        <w:rPr>
          <w:rFonts w:ascii="Arial" w:cs="Arial" w:eastAsia="Arial" w:hAnsi="Arial"/>
          <w:sz w:val="22"/>
          <w:szCs w:val="22"/>
        </w:rPr>
        <w:t xml:space="preserve">El Modelo de Gestión Moderna de los Servicios de Salud (GEMSES; Pérez Pérez, 2021) es un modelo de excelencia en gestión sanitaria desarrollado por el autor de esta tesis. Su Matriz de Priorización de Impactos en Salud opera con la fórmula:</w:t>
      </w:r>
    </w:p>
    <w:p>
      <w:pPr>
        <w:shd w:fill="F2F2F2" w:val="clear"/>
        <w:spacing w:after="0" w:before="0"/>
      </w:pPr>
      <w:r>
        <w:rPr>
          <w:rFonts w:ascii="Consolas" w:cs="Consolas" w:eastAsia="Consolas" w:hAnsi="Consolas"/>
          <w:color w:val="000000"/>
          <w:sz w:val="16"/>
          <w:szCs w:val="16"/>
        </w:rPr>
        <w:t xml:space="preserve">   Impacto (G) = c · 0.40 + d · 0.20 + e · 0.15 + f · 0.20</w:t>
      </w:r>
    </w:p>
    <w:p>
      <w:pPr>
        <w:shd w:fill="F2F2F2" w:val="clear"/>
        <w:spacing w:after="0" w:before="0"/>
      </w:pPr>
      <w:r>
        <w:rPr>
          <w:rFonts w:ascii="Consolas" w:cs="Consolas" w:eastAsia="Consolas" w:hAnsi="Consolas"/>
          <w:color w:val="000000"/>
          <w:sz w:val="16"/>
          <w:szCs w:val="16"/>
        </w:rPr>
        <w:t xml:space="preserve"> </w:t>
      </w:r>
    </w:p>
    <w:p>
      <w:pPr>
        <w:shd w:fill="F2F2F2" w:val="clear"/>
        <w:spacing w:after="0" w:before="0"/>
      </w:pPr>
      <w:r>
        <w:rPr>
          <w:rFonts w:ascii="Consolas" w:cs="Consolas" w:eastAsia="Consolas" w:hAnsi="Consolas"/>
          <w:color w:val="000000"/>
          <w:sz w:val="16"/>
          <w:szCs w:val="16"/>
        </w:rPr>
        <w:t xml:space="preserve">   donde:  c = Estancia Hospitalaria   (Tiempo)</w:t>
      </w:r>
    </w:p>
    <w:p>
      <w:pPr>
        <w:shd w:fill="F2F2F2" w:val="clear"/>
        <w:spacing w:after="0" w:before="0"/>
      </w:pPr>
      <w:r>
        <w:rPr>
          <w:rFonts w:ascii="Consolas" w:cs="Consolas" w:eastAsia="Consolas" w:hAnsi="Consolas"/>
          <w:color w:val="000000"/>
          <w:sz w:val="16"/>
          <w:szCs w:val="16"/>
        </w:rPr>
        <w:t xml:space="preserve">           d = Complicación Hospital   (Calidad)</w:t>
      </w:r>
    </w:p>
    <w:p>
      <w:pPr>
        <w:shd w:fill="F2F2F2" w:val="clear"/>
        <w:spacing w:after="0" w:before="0"/>
      </w:pPr>
      <w:r>
        <w:rPr>
          <w:rFonts w:ascii="Consolas" w:cs="Consolas" w:eastAsia="Consolas" w:hAnsi="Consolas"/>
          <w:color w:val="000000"/>
          <w:sz w:val="16"/>
          <w:szCs w:val="16"/>
        </w:rPr>
        <w:t xml:space="preserve">           e = Sobrecosto              (Costos)</w:t>
      </w:r>
    </w:p>
    <w:p>
      <w:pPr>
        <w:shd w:fill="F2F2F2" w:val="clear"/>
        <w:spacing w:after="0" w:before="0"/>
      </w:pPr>
      <w:r>
        <w:rPr>
          <w:rFonts w:ascii="Consolas" w:cs="Consolas" w:eastAsia="Consolas" w:hAnsi="Consolas"/>
          <w:color w:val="000000"/>
          <w:sz w:val="16"/>
          <w:szCs w:val="16"/>
        </w:rPr>
        <w:t xml:space="preserve">           f = Insatisfaccion          (Satisfaccion del paciente)</w:t>
      </w:r>
    </w:p>
    <w:p>
      <w:r>
        <w:rPr>
          <w:rFonts w:ascii="Arial" w:cs="Arial" w:eastAsia="Arial" w:hAnsi="Arial"/>
          <w:sz w:val="12"/>
          <w:szCs w:val="12"/>
        </w:rPr>
        <w:t xml:space="preserve"> </w:t>
      </w:r>
    </w:p>
    <w:p>
      <w:pPr>
        <w:spacing w:after="120"/>
      </w:pPr>
      <w:r>
        <w:rPr>
          <w:rFonts w:ascii="Arial" w:cs="Arial" w:eastAsia="Arial" w:hAnsi="Arial"/>
          <w:sz w:val="22"/>
          <w:szCs w:val="22"/>
        </w:rPr>
        <w:t xml:space="preserve">EsSalud incorpora el Modelo GEMSES en su Directiva ERSP — Anexo 2 (Tabla de Codificación de los Eventos Relacionados con la Seguridad del Paciente), donde un panel experto nacional valoró los 231 eventos en sus cuatro dimensiones. La presente tesis aplica el modelo normativo sin modificarlo, siguiendo el principio: el NLP detecta los eventos, el Modelo GEMSES los prioriza.</w:t>
      </w:r>
    </w:p>
    <w:p>
      <w:r>
        <w:br w:type="page"/>
      </w:r>
    </w:p>
    <w:p>
      <w:pPr>
        <w:pStyle w:val="Heading1"/>
      </w:pPr>
      <w:r>
        <w:rPr>
          <w:rFonts w:ascii="Arial" w:cs="Arial" w:eastAsia="Arial" w:hAnsi="Arial"/>
        </w:rPr>
        <w:t xml:space="preserve">2.7 Referencias bibliográficas</w:t>
      </w:r>
    </w:p>
    <w:p>
      <w:pPr>
        <w:spacing w:after="120"/>
      </w:pPr>
      <w:r>
        <w:rPr>
          <w:rFonts w:ascii="Arial" w:cs="Arial" w:eastAsia="Arial" w:hAnsi="Arial"/>
          <w:sz w:val="22"/>
          <w:szCs w:val="22"/>
        </w:rPr>
        <w:t xml:space="preserve">Formato APA 7ª edición. (Lista en construcción; se completará con la versión 1.0 del documento.)</w:t>
      </w:r>
    </w:p>
    <w:p>
      <w:r>
        <w:rPr>
          <w:rFonts w:ascii="Arial" w:cs="Arial" w:eastAsia="Arial" w:hAnsi="Arial"/>
          <w:sz w:val="12"/>
          <w:szCs w:val="12"/>
        </w:rPr>
        <w:t xml:space="preserve"> </w:t>
      </w:r>
    </w:p>
    <w:p>
      <w:pPr>
        <w:spacing w:after="80"/>
        <w:ind w:left="360" w:hanging="360"/>
      </w:pPr>
      <w:r>
        <w:rPr>
          <w:rFonts w:ascii="Arial" w:cs="Arial" w:eastAsia="Arial" w:hAnsi="Arial"/>
          <w:sz w:val="20"/>
          <w:szCs w:val="20"/>
        </w:rPr>
        <w:t xml:space="preserve">Alsentzer, E., Murphy, J. R., Boag, W., Weng, W. H., Jin, D., Naumann, T., &amp; McDermott, M. (2019). Publicly available clinical BERT embeddings. Proceedings of the 2nd Clinical Natural Language Processing Workshop, 72-78.</w:t>
      </w:r>
    </w:p>
    <w:p>
      <w:pPr>
        <w:spacing w:after="80"/>
        <w:ind w:left="360" w:hanging="360"/>
      </w:pPr>
      <w:r>
        <w:rPr>
          <w:rFonts w:ascii="Arial" w:cs="Arial" w:eastAsia="Arial" w:hAnsi="Arial"/>
          <w:sz w:val="20"/>
          <w:szCs w:val="20"/>
        </w:rPr>
        <w:t xml:space="preserve">Blei, D. M., Ng, A. Y., &amp; Jordan, M. I. (2003). Latent Dirichlet Allocation. Journal of Machine Learning Research, 3, 993-1022.</w:t>
      </w:r>
    </w:p>
    <w:p>
      <w:pPr>
        <w:spacing w:after="80"/>
        <w:ind w:left="360" w:hanging="360"/>
      </w:pPr>
      <w:r>
        <w:rPr>
          <w:rFonts w:ascii="Arial" w:cs="Arial" w:eastAsia="Arial" w:hAnsi="Arial"/>
          <w:sz w:val="20"/>
          <w:szCs w:val="20"/>
        </w:rPr>
        <w:t xml:space="preserve">Brown, T. B., et al. (2020). Language models are few-shot learners. Advances in Neural Information Processing Systems, 33, 1877-1901.</w:t>
      </w:r>
    </w:p>
    <w:p>
      <w:pPr>
        <w:spacing w:after="80"/>
        <w:ind w:left="360" w:hanging="360"/>
      </w:pPr>
      <w:r>
        <w:rPr>
          <w:rFonts w:ascii="Arial" w:cs="Arial" w:eastAsia="Arial" w:hAnsi="Arial"/>
          <w:sz w:val="20"/>
          <w:szCs w:val="20"/>
        </w:rPr>
        <w:t xml:space="preserve">Chapman, W. W., Bridewell, W., Hanbury, P., Cooper, G. F., &amp; Buchanan, B. G. (2001). A simple algorithm for identifying negated findings and diseases in discharge summaries. Journal of Biomedical Informatics, 34(5), 301-310.</w:t>
      </w:r>
    </w:p>
    <w:p>
      <w:pPr>
        <w:spacing w:after="80"/>
        <w:ind w:left="360" w:hanging="360"/>
      </w:pPr>
      <w:r>
        <w:rPr>
          <w:rFonts w:ascii="Arial" w:cs="Arial" w:eastAsia="Arial" w:hAnsi="Arial"/>
          <w:sz w:val="20"/>
          <w:szCs w:val="20"/>
        </w:rPr>
        <w:t xml:space="preserve">Demner-Fushman, D., Chapman, W. W., &amp; McDonald, C. J. (2009). What can natural language processing do for clinical decision support? Journal of Biomedical Informatics, 42(5), 760-772.</w:t>
      </w:r>
    </w:p>
    <w:p>
      <w:pPr>
        <w:spacing w:after="80"/>
        <w:ind w:left="360" w:hanging="360"/>
      </w:pPr>
      <w:r>
        <w:rPr>
          <w:rFonts w:ascii="Arial" w:cs="Arial" w:eastAsia="Arial" w:hAnsi="Arial"/>
          <w:sz w:val="20"/>
          <w:szCs w:val="20"/>
        </w:rPr>
        <w:t xml:space="preserve">Devlin, J., Chang, M. W., Lee, K., &amp; Toutanova, K. (2019). BERT: Pre-training of deep bidirectional transformers for language understanding. Proceedings of NAACL-HLT, 4171-4186.</w:t>
      </w:r>
    </w:p>
    <w:p>
      <w:pPr>
        <w:spacing w:after="80"/>
        <w:ind w:left="360" w:hanging="360"/>
      </w:pPr>
      <w:r>
        <w:rPr>
          <w:rFonts w:ascii="Arial" w:cs="Arial" w:eastAsia="Arial" w:hAnsi="Arial"/>
          <w:sz w:val="20"/>
          <w:szCs w:val="20"/>
        </w:rPr>
        <w:t xml:space="preserve">Gu, Y., Tinn, R., Cheng, H., Lucas, M., Usuyama, N., Liu, X., Naumann, T., Gao, J., &amp; Poon, H. (2021). Domain-specific language model pretraining for biomedical natural language processing. ACM Transactions on Computing for Healthcare, 3(1), 1-23.</w:t>
      </w:r>
    </w:p>
    <w:p>
      <w:pPr>
        <w:spacing w:after="80"/>
        <w:ind w:left="360" w:hanging="360"/>
      </w:pPr>
      <w:r>
        <w:rPr>
          <w:rFonts w:ascii="Arial" w:cs="Arial" w:eastAsia="Arial" w:hAnsi="Arial"/>
          <w:sz w:val="20"/>
          <w:szCs w:val="20"/>
        </w:rPr>
        <w:t xml:space="preserve">Jurafsky, D., &amp; Martin, J. H. (2024). Speech and Language Processing (3rd ed., draft). Stanford University.</w:t>
      </w:r>
    </w:p>
    <w:p>
      <w:pPr>
        <w:spacing w:after="80"/>
        <w:ind w:left="360" w:hanging="360"/>
      </w:pPr>
      <w:r>
        <w:rPr>
          <w:rFonts w:ascii="Arial" w:cs="Arial" w:eastAsia="Arial" w:hAnsi="Arial"/>
          <w:sz w:val="20"/>
          <w:szCs w:val="20"/>
        </w:rPr>
        <w:t xml:space="preserve">Lee, J., Yoon, W., Kim, S., Kim, D., Kim, S., So, C. H., &amp; Kang, J. (2020). BioBERT: a pre-trained biomedical language representation model for biomedical text mining. Bioinformatics, 36(4), 1234-1240.</w:t>
      </w:r>
    </w:p>
    <w:p>
      <w:pPr>
        <w:spacing w:after="80"/>
        <w:ind w:left="360" w:hanging="360"/>
      </w:pPr>
      <w:r>
        <w:rPr>
          <w:rFonts w:ascii="Arial" w:cs="Arial" w:eastAsia="Arial" w:hAnsi="Arial"/>
          <w:sz w:val="20"/>
          <w:szCs w:val="20"/>
        </w:rPr>
        <w:t xml:space="preserve">Lewis, P., Perez, E., Piktus, A., Petroni, F., Karpukhin, V., Goyal, N., et al. (2020). Retrieval-augmented generation for knowledge-intensive NLP tasks. Advances in Neural Information Processing Systems, 33, 9459-9474.</w:t>
      </w:r>
    </w:p>
    <w:p>
      <w:pPr>
        <w:spacing w:after="80"/>
        <w:ind w:left="360" w:hanging="360"/>
      </w:pPr>
      <w:r>
        <w:rPr>
          <w:rFonts w:ascii="Arial" w:cs="Arial" w:eastAsia="Arial" w:hAnsi="Arial"/>
          <w:sz w:val="20"/>
          <w:szCs w:val="20"/>
        </w:rPr>
        <w:t xml:space="preserve">Mikolov, T., Chen, K., Corrado, G., &amp; Dean, J. (2013). Efficient estimation of word representations in vector space. arXiv preprint arXiv:1301.3781.</w:t>
      </w:r>
    </w:p>
    <w:p>
      <w:pPr>
        <w:spacing w:after="80"/>
        <w:ind w:left="360" w:hanging="360"/>
      </w:pPr>
      <w:r>
        <w:rPr>
          <w:rFonts w:ascii="Arial" w:cs="Arial" w:eastAsia="Arial" w:hAnsi="Arial"/>
          <w:sz w:val="20"/>
          <w:szCs w:val="20"/>
        </w:rPr>
        <w:t xml:space="preserve">Murff, H. J., FitzHenry, F., Matheny, M. E., Gentry, N., Kotter, K. L., Crimin, K., et al. (2011). Automated identification of postoperative complications within an electronic medical record using natural language processing. JAMA, 306(8), 848-855.</w:t>
      </w:r>
    </w:p>
    <w:p>
      <w:pPr>
        <w:spacing w:after="80"/>
        <w:ind w:left="360" w:hanging="360"/>
      </w:pPr>
      <w:r>
        <w:rPr>
          <w:rFonts w:ascii="Arial" w:cs="Arial" w:eastAsia="Arial" w:hAnsi="Arial"/>
          <w:sz w:val="20"/>
          <w:szCs w:val="20"/>
        </w:rPr>
        <w:t xml:space="preserve">Pennington, J., Socher, R., &amp; Manning, C. D. (2014). GloVe: Global vectors for word representation. Proceedings of EMNLP, 1532-1543.</w:t>
      </w:r>
    </w:p>
    <w:p>
      <w:pPr>
        <w:spacing w:after="80"/>
        <w:ind w:left="360" w:hanging="360"/>
      </w:pPr>
      <w:r>
        <w:rPr>
          <w:rFonts w:ascii="Arial" w:cs="Arial" w:eastAsia="Arial" w:hAnsi="Arial"/>
          <w:sz w:val="20"/>
          <w:szCs w:val="20"/>
        </w:rPr>
        <w:t xml:space="preserve">Peng, Y., Yan, S., &amp; Lu, Z. (2019). Transfer learning in biomedical natural language processing: An evaluation of BERT and ELMo on ten benchmarking datasets. Proceedings of BioNLP, 58-65.</w:t>
      </w:r>
    </w:p>
    <w:p>
      <w:pPr>
        <w:spacing w:after="80"/>
        <w:ind w:left="360" w:hanging="360"/>
      </w:pPr>
      <w:r>
        <w:rPr>
          <w:rFonts w:ascii="Arial" w:cs="Arial" w:eastAsia="Arial" w:hAnsi="Arial"/>
          <w:sz w:val="20"/>
          <w:szCs w:val="20"/>
        </w:rPr>
        <w:t xml:space="preserve">Peters, M. E., Neumann, M., Iyyer, M., Gardner, M., Clark, C., Lee, K., &amp; Zettlemoyer, L. (2018). Deep contextualized word representations. Proceedings of NAACL-HLT, 2227-2237.</w:t>
      </w:r>
    </w:p>
    <w:p>
      <w:pPr>
        <w:spacing w:after="80"/>
        <w:ind w:left="360" w:hanging="360"/>
      </w:pPr>
      <w:r>
        <w:rPr>
          <w:rFonts w:ascii="Arial" w:cs="Arial" w:eastAsia="Arial" w:hAnsi="Arial"/>
          <w:sz w:val="20"/>
          <w:szCs w:val="20"/>
        </w:rPr>
        <w:t xml:space="preserve">Pérez Pérez, C. (2021). Modelo de Excelencia: Gestión Moderna de los Servicios de Salud — GEMSES (ISBN 978-612-00-6235-7). Lima.</w:t>
      </w:r>
    </w:p>
    <w:p>
      <w:pPr>
        <w:spacing w:after="80"/>
        <w:ind w:left="360" w:hanging="360"/>
      </w:pPr>
      <w:r>
        <w:rPr>
          <w:rFonts w:ascii="Arial" w:cs="Arial" w:eastAsia="Arial" w:hAnsi="Arial"/>
          <w:sz w:val="20"/>
          <w:szCs w:val="20"/>
        </w:rPr>
        <w:t xml:space="preserve">Ratner, A., Bach, S. H., Ehrenberg, H., Fries, J., Wu, S., &amp; Ré, C. (2017). Snorkel: Rapid training data creation with weak supervision. Proceedings of the VLDB Endowment, 11(3), 269-282.</w:t>
      </w:r>
    </w:p>
    <w:p>
      <w:pPr>
        <w:spacing w:after="80"/>
        <w:ind w:left="360" w:hanging="360"/>
      </w:pPr>
      <w:r>
        <w:rPr>
          <w:rFonts w:ascii="Arial" w:cs="Arial" w:eastAsia="Arial" w:hAnsi="Arial"/>
          <w:sz w:val="20"/>
          <w:szCs w:val="20"/>
        </w:rPr>
        <w:t xml:space="preserve">Salton, G., &amp; Buckley, C. (1988). Term-weighting approaches in automatic text retrieval. Information Processing &amp; Management, 24(5), 513-523.</w:t>
      </w:r>
    </w:p>
    <w:p>
      <w:pPr>
        <w:spacing w:after="80"/>
        <w:ind w:left="360" w:hanging="360"/>
      </w:pPr>
      <w:r>
        <w:rPr>
          <w:rFonts w:ascii="Arial" w:cs="Arial" w:eastAsia="Arial" w:hAnsi="Arial"/>
          <w:sz w:val="20"/>
          <w:szCs w:val="20"/>
        </w:rPr>
        <w:t xml:space="preserve">Vaswani, A., Shazeer, N., Parmar, N., Uszkoreit, J., Jones, L., Gomez, A. N., et al. (2017). Attention is all you need. Advances in Neural Information Processing Systems, 30, 5998-6008.</w:t>
      </w:r>
    </w:p>
    <w:p>
      <w:pPr>
        <w:spacing w:after="80"/>
        <w:ind w:left="360" w:hanging="360"/>
      </w:pPr>
      <w:r>
        <w:rPr>
          <w:rFonts w:ascii="Arial" w:cs="Arial" w:eastAsia="Arial" w:hAnsi="Arial"/>
          <w:sz w:val="20"/>
          <w:szCs w:val="20"/>
        </w:rPr>
        <w:t xml:space="preserve">Zela, W. (2026). Natural Language Processing — MAE SE-B, Universidad Nacional de Ingeniería. Material del curso, Sesiones 1 y 2.</w:t>
      </w:r>
    </w:p>
    <w:p>
      <w:r>
        <w:br w:type="page"/>
      </w:r>
    </w:p>
    <w:p>
      <w:pPr>
        <w:pStyle w:val="Heading1"/>
      </w:pPr>
      <w:r>
        <w:rPr>
          <w:rFonts w:ascii="Arial" w:cs="Arial" w:eastAsia="Arial" w:hAnsi="Arial"/>
        </w:rPr>
        <w:t xml:space="preserve">Pendientes para versión 1.0 (definitiva)</w:t>
      </w:r>
    </w:p>
    <w:p>
      <w:pPr>
        <w:pStyle w:val="ListParagraph"/>
        <w:numPr>
          <w:ilvl w:val="0"/>
          <w:numId w:val="2"/>
        </w:numPr>
        <w:spacing w:after="60"/>
      </w:pPr>
      <w:r>
        <w:rPr>
          <w:rFonts w:ascii="Arial" w:cs="Arial" w:eastAsia="Arial" w:hAnsi="Arial"/>
          <w:sz w:val="22"/>
          <w:szCs w:val="22"/>
        </w:rPr>
        <w:t xml:space="preserve">Confirmar contenido detallado de Sesión 3 (Word2Vec) tras desempaquetar los cuadernos del curso.</w:t>
      </w:r>
    </w:p>
    <w:p>
      <w:pPr>
        <w:pStyle w:val="ListParagraph"/>
        <w:numPr>
          <w:ilvl w:val="0"/>
          <w:numId w:val="2"/>
        </w:numPr>
        <w:spacing w:after="60"/>
      </w:pPr>
      <w:r>
        <w:rPr>
          <w:rFonts w:ascii="Arial" w:cs="Arial" w:eastAsia="Arial" w:hAnsi="Arial"/>
          <w:sz w:val="22"/>
          <w:szCs w:val="22"/>
        </w:rPr>
        <w:t xml:space="preserve">Confirmar contenido detallado de Sesión 4 (GloVe) tras desempaquetar los cuadernos del curso.</w:t>
      </w:r>
    </w:p>
    <w:p>
      <w:pPr>
        <w:pStyle w:val="ListParagraph"/>
        <w:numPr>
          <w:ilvl w:val="0"/>
          <w:numId w:val="2"/>
        </w:numPr>
        <w:spacing w:after="60"/>
      </w:pPr>
      <w:r>
        <w:rPr>
          <w:rFonts w:ascii="Arial" w:cs="Arial" w:eastAsia="Arial" w:hAnsi="Arial"/>
          <w:sz w:val="22"/>
          <w:szCs w:val="22"/>
        </w:rPr>
        <w:t xml:space="preserve">Incorporar contenido de Sesión 5 cuando se dicte y publique.</w:t>
      </w:r>
    </w:p>
    <w:p>
      <w:pPr>
        <w:pStyle w:val="ListParagraph"/>
        <w:numPr>
          <w:ilvl w:val="0"/>
          <w:numId w:val="2"/>
        </w:numPr>
        <w:spacing w:after="60"/>
      </w:pPr>
      <w:r>
        <w:rPr>
          <w:rFonts w:ascii="Arial" w:cs="Arial" w:eastAsia="Arial" w:hAnsi="Arial"/>
          <w:sz w:val="22"/>
          <w:szCs w:val="22"/>
        </w:rPr>
        <w:t xml:space="preserve">Revisar redacción y citas con el asesor de tesis.</w:t>
      </w:r>
    </w:p>
    <w:p>
      <w:pPr>
        <w:pStyle w:val="ListParagraph"/>
        <w:numPr>
          <w:ilvl w:val="0"/>
          <w:numId w:val="2"/>
        </w:numPr>
        <w:spacing w:after="60"/>
      </w:pPr>
      <w:r>
        <w:rPr>
          <w:rFonts w:ascii="Arial" w:cs="Arial" w:eastAsia="Arial" w:hAnsi="Arial"/>
          <w:sz w:val="22"/>
          <w:szCs w:val="22"/>
        </w:rPr>
        <w:t xml:space="preserve">Agregar diagramas formales (figuras numeradas con leyenda) para el esquema de priorización.</w:t>
      </w:r>
    </w:p>
    <w:p>
      <w:pPr>
        <w:pStyle w:val="ListParagraph"/>
        <w:numPr>
          <w:ilvl w:val="0"/>
          <w:numId w:val="2"/>
        </w:numPr>
        <w:spacing w:after="60"/>
      </w:pPr>
      <w:r>
        <w:rPr>
          <w:rFonts w:ascii="Arial" w:cs="Arial" w:eastAsia="Arial" w:hAnsi="Arial"/>
          <w:sz w:val="22"/>
          <w:szCs w:val="22"/>
        </w:rPr>
        <w:t xml:space="preserve">Validar referencias APA con la guía de tesis de la UNI.</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borrador.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i/>
        <w:iCs/>
        <w:color w:val="C00000"/>
        <w:sz w:val="16"/>
        <w:szCs w:val="16"/>
      </w:rPr>
      <w:t xml:space="preserve">   ·   v0.1 BORRADOR PRELIMINAR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2"/>
      </w:pBdr>
    </w:pPr>
    <w:r>
      <w:rPr>
        <w:rFonts w:ascii="Arial" w:cs="Arial" w:eastAsia="Arial" w:hAnsi="Arial"/>
        <w:b/>
        <w:bCs/>
        <w:color w:val="C00000"/>
        <w:sz w:val="16"/>
        <w:szCs w:val="16"/>
      </w:rPr>
      <w:t xml:space="preserve">BORRADOR PRELIMINAR — Capítulo II Marco Teórico — Tesis GEMSES-MIMIC — C.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2026-05-18T02:30:02.593Z</dcterms:created>
  <dcterms:modified xsi:type="dcterms:W3CDTF">2026-05-18T02:30:02.594Z</dcterms:modified>
</cp:coreProperties>
</file>

<file path=docProps/custom.xml><?xml version="1.0" encoding="utf-8"?>
<Properties xmlns="http://schemas.openxmlformats.org/officeDocument/2006/custom-properties" xmlns:vt="http://schemas.openxmlformats.org/officeDocument/2006/docPropsVTypes"/>
</file>