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80"/>
        <w:jc w:val="start"/>
        <w:rPr/>
      </w:pPr>
      <w:r>
        <w:rPr>
          <w:b/>
          <w:i w:val="false"/>
          <w:color w:val="17365D"/>
          <w:sz w:val="40"/>
        </w:rPr>
        <w:t>ServiceDesk</w:t>
      </w:r>
    </w:p>
    <w:p>
      <w:pPr>
        <w:pStyle w:val="Normal"/>
        <w:spacing w:before="0" w:after="160"/>
        <w:rPr/>
      </w:pPr>
      <w:r>
        <w:rPr>
          <w:b/>
          <w:i w:val="false"/>
          <w:color w:val="17365D"/>
          <w:sz w:val="52"/>
        </w:rPr>
        <w:t>Plan de Desarrollo MVP</w:t>
      </w:r>
    </w:p>
    <w:p>
      <w:pPr>
        <w:pStyle w:val="Normal"/>
        <w:spacing w:before="0" w:after="440"/>
        <w:rPr/>
      </w:pPr>
      <w:r>
        <w:rPr>
          <w:b w:val="false"/>
          <w:i w:val="false"/>
          <w:color w:val="2F5597"/>
          <w:sz w:val="28"/>
        </w:rPr>
        <w:t>Backend .NET, Microservices, AI Agents y CI/CD con Docker</w:t>
      </w:r>
    </w:p>
    <w:p>
      <w:pPr>
        <w:pStyle w:val="Normal"/>
        <w:spacing w:before="0" w:after="120"/>
        <w:rPr/>
      </w:pPr>
      <w:r>
        <w:rPr>
          <w:b/>
          <w:i w:val="false"/>
          <w:color w:val="666666"/>
          <w:sz w:val="28"/>
        </w:rPr>
        <w:t>ACME</w:t>
      </w:r>
    </w:p>
    <w:p>
      <w:pPr>
        <w:pStyle w:val="Normal"/>
        <w:rPr/>
      </w:pPr>
      <w:r>
        <w:rPr>
          <w:b w:val="false"/>
          <w:i w:val="false"/>
          <w:color w:val="666666"/>
          <w:sz w:val="22"/>
        </w:rPr>
        <w:t>Versión 1.0 | 24 de agosto de 2026</w:t>
      </w:r>
    </w:p>
    <w:p>
      <w:pPr>
        <w:pStyle w:val="Normal"/>
        <w:rPr/>
      </w:pPr>
      <w:r>
        <w:rPr>
          <w:b w:val="false"/>
          <w:i w:val="false"/>
          <w:color w:val="666666"/>
          <w:sz w:val="21"/>
        </w:rPr>
        <w:t>Estado: Plan de ejecución para proyecto de aprendizaje</w:t>
      </w:r>
    </w:p>
    <w:p>
      <w:pPr>
        <w:pStyle w:val="Normal"/>
        <w:rPr/>
      </w:pPr>
      <w:r>
        <w:rPr/>
      </w:r>
      <w:r>
        <w:br w:type="page"/>
      </w:r>
    </w:p>
    <w:p>
      <w:pPr>
        <w:pStyle w:val="Heading1"/>
        <w:spacing w:before="0" w:after="100"/>
        <w:rPr/>
      </w:pPr>
      <w:r>
        <w:rPr/>
        <w:t>Control del documento</w:t>
      </w:r>
    </w:p>
    <w:tbl>
      <w:tblPr>
        <w:tblW w:w="10166"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5083"/>
        <w:gridCol w:w="5083"/>
      </w:tblGrid>
      <w:tr>
        <w:trPr>
          <w:tblHeader w:val="true"/>
        </w:trPr>
        <w:tc>
          <w:tcPr>
            <w:tcW w:w="5083" w:type="dxa"/>
            <w:tcBorders/>
            <w:shd w:fill="D9E2F3" w:val="clear"/>
            <w:vAlign w:val="center"/>
          </w:tcPr>
          <w:p>
            <w:pPr>
              <w:pStyle w:val="Normal"/>
              <w:spacing w:before="0" w:after="0"/>
              <w:rPr/>
            </w:pPr>
            <w:r>
              <w:rPr>
                <w:b/>
                <w:i w:val="false"/>
                <w:sz w:val="21"/>
              </w:rPr>
              <w:t>Campo</w:t>
            </w:r>
          </w:p>
        </w:tc>
        <w:tc>
          <w:tcPr>
            <w:tcW w:w="5083" w:type="dxa"/>
            <w:tcBorders/>
            <w:shd w:fill="D9E2F3" w:val="clear"/>
            <w:vAlign w:val="center"/>
          </w:tcPr>
          <w:p>
            <w:pPr>
              <w:pStyle w:val="Normal"/>
              <w:spacing w:before="0" w:after="0"/>
              <w:rPr/>
            </w:pPr>
            <w:r>
              <w:rPr>
                <w:b/>
                <w:i w:val="false"/>
                <w:sz w:val="21"/>
              </w:rPr>
              <w:t>Valor</w:t>
            </w:r>
          </w:p>
        </w:tc>
      </w:tr>
      <w:tr>
        <w:trPr>
          <w:cantSplit/>
        </w:trPr>
        <w:tc>
          <w:tcPr>
            <w:tcW w:w="5083" w:type="dxa"/>
            <w:tcBorders/>
            <w:shd w:fill="EAF0F8" w:val="clear"/>
            <w:vAlign w:val="center"/>
          </w:tcPr>
          <w:p>
            <w:pPr>
              <w:pStyle w:val="Normal"/>
              <w:spacing w:before="0" w:after="0"/>
              <w:rPr/>
            </w:pPr>
            <w:r>
              <w:rPr>
                <w:b/>
                <w:i w:val="false"/>
                <w:sz w:val="20"/>
              </w:rPr>
              <w:t>Documento</w:t>
            </w:r>
          </w:p>
        </w:tc>
        <w:tc>
          <w:tcPr>
            <w:tcW w:w="5083" w:type="dxa"/>
            <w:tcBorders/>
            <w:vAlign w:val="center"/>
          </w:tcPr>
          <w:p>
            <w:pPr>
              <w:pStyle w:val="Normal"/>
              <w:spacing w:before="0" w:after="0"/>
              <w:rPr/>
            </w:pPr>
            <w:r>
              <w:rPr>
                <w:b w:val="false"/>
                <w:i w:val="false"/>
                <w:sz w:val="20"/>
              </w:rPr>
              <w:t>ServiceDesk — Plan de Desarrollo MVP</w:t>
            </w:r>
          </w:p>
        </w:tc>
      </w:tr>
      <w:tr>
        <w:trPr>
          <w:cantSplit/>
        </w:trPr>
        <w:tc>
          <w:tcPr>
            <w:tcW w:w="5083" w:type="dxa"/>
            <w:tcBorders/>
            <w:shd w:fill="EAF0F8" w:val="clear"/>
            <w:vAlign w:val="center"/>
          </w:tcPr>
          <w:p>
            <w:pPr>
              <w:pStyle w:val="Normal"/>
              <w:spacing w:before="0" w:after="0"/>
              <w:rPr/>
            </w:pPr>
            <w:r>
              <w:rPr>
                <w:b/>
                <w:i w:val="false"/>
                <w:sz w:val="20"/>
              </w:rPr>
              <w:t>Versión</w:t>
            </w:r>
          </w:p>
        </w:tc>
        <w:tc>
          <w:tcPr>
            <w:tcW w:w="5083" w:type="dxa"/>
            <w:tcBorders/>
            <w:vAlign w:val="center"/>
          </w:tcPr>
          <w:p>
            <w:pPr>
              <w:pStyle w:val="Normal"/>
              <w:spacing w:before="0" w:after="0"/>
              <w:rPr/>
            </w:pPr>
            <w:r>
              <w:rPr>
                <w:b w:val="false"/>
                <w:i w:val="false"/>
                <w:sz w:val="20"/>
              </w:rPr>
              <w:t>1.0</w:t>
            </w:r>
          </w:p>
        </w:tc>
      </w:tr>
      <w:tr>
        <w:trPr>
          <w:cantSplit/>
        </w:trPr>
        <w:tc>
          <w:tcPr>
            <w:tcW w:w="5083" w:type="dxa"/>
            <w:tcBorders/>
            <w:shd w:fill="EAF0F8" w:val="clear"/>
            <w:vAlign w:val="center"/>
          </w:tcPr>
          <w:p>
            <w:pPr>
              <w:pStyle w:val="Normal"/>
              <w:spacing w:before="0" w:after="0"/>
              <w:rPr/>
            </w:pPr>
            <w:r>
              <w:rPr>
                <w:b/>
                <w:i w:val="false"/>
                <w:sz w:val="20"/>
              </w:rPr>
              <w:t>Fecha</w:t>
            </w:r>
          </w:p>
        </w:tc>
        <w:tc>
          <w:tcPr>
            <w:tcW w:w="5083" w:type="dxa"/>
            <w:tcBorders/>
            <w:vAlign w:val="center"/>
          </w:tcPr>
          <w:p>
            <w:pPr>
              <w:pStyle w:val="Normal"/>
              <w:spacing w:before="0" w:after="0"/>
              <w:rPr/>
            </w:pPr>
            <w:r>
              <w:rPr>
                <w:b w:val="false"/>
                <w:i w:val="false"/>
                <w:sz w:val="20"/>
              </w:rPr>
              <w:t>24 de agosto de 2026</w:t>
            </w:r>
          </w:p>
        </w:tc>
      </w:tr>
      <w:tr>
        <w:trPr>
          <w:cantSplit/>
        </w:trPr>
        <w:tc>
          <w:tcPr>
            <w:tcW w:w="5083" w:type="dxa"/>
            <w:tcBorders/>
            <w:shd w:fill="EAF0F8" w:val="clear"/>
            <w:vAlign w:val="center"/>
          </w:tcPr>
          <w:p>
            <w:pPr>
              <w:pStyle w:val="Normal"/>
              <w:spacing w:before="0" w:after="0"/>
              <w:rPr/>
            </w:pPr>
            <w:r>
              <w:rPr>
                <w:b/>
                <w:i w:val="false"/>
                <w:sz w:val="20"/>
              </w:rPr>
              <w:t>Estado</w:t>
            </w:r>
          </w:p>
        </w:tc>
        <w:tc>
          <w:tcPr>
            <w:tcW w:w="5083" w:type="dxa"/>
            <w:tcBorders/>
            <w:vAlign w:val="center"/>
          </w:tcPr>
          <w:p>
            <w:pPr>
              <w:pStyle w:val="Normal"/>
              <w:spacing w:before="0" w:after="0"/>
              <w:rPr/>
            </w:pPr>
            <w:r>
              <w:rPr>
                <w:b w:val="false"/>
                <w:i w:val="false"/>
                <w:sz w:val="20"/>
              </w:rPr>
              <w:t>Plan de ejecución</w:t>
            </w:r>
          </w:p>
        </w:tc>
      </w:tr>
      <w:tr>
        <w:trPr>
          <w:cantSplit/>
        </w:trPr>
        <w:tc>
          <w:tcPr>
            <w:tcW w:w="5083" w:type="dxa"/>
            <w:tcBorders/>
            <w:shd w:fill="EAF0F8" w:val="clear"/>
            <w:vAlign w:val="center"/>
          </w:tcPr>
          <w:p>
            <w:pPr>
              <w:pStyle w:val="Normal"/>
              <w:spacing w:before="0" w:after="0"/>
              <w:rPr/>
            </w:pPr>
            <w:r>
              <w:rPr>
                <w:b/>
                <w:i w:val="false"/>
                <w:sz w:val="20"/>
              </w:rPr>
              <w:t>Baseline funcional</w:t>
            </w:r>
          </w:p>
        </w:tc>
        <w:tc>
          <w:tcPr>
            <w:tcW w:w="5083" w:type="dxa"/>
            <w:tcBorders/>
            <w:vAlign w:val="center"/>
          </w:tcPr>
          <w:p>
            <w:pPr>
              <w:pStyle w:val="Normal"/>
              <w:spacing w:before="0" w:after="0"/>
              <w:rPr/>
            </w:pPr>
            <w:r>
              <w:rPr>
                <w:b w:val="false"/>
                <w:i w:val="false"/>
                <w:sz w:val="20"/>
              </w:rPr>
              <w:t>ServiceDesk — Requerimientos Finales v1.0</w:t>
            </w:r>
          </w:p>
        </w:tc>
      </w:tr>
      <w:tr>
        <w:trPr>
          <w:cantSplit/>
        </w:trPr>
        <w:tc>
          <w:tcPr>
            <w:tcW w:w="5083" w:type="dxa"/>
            <w:tcBorders/>
            <w:shd w:fill="EAF0F8" w:val="clear"/>
            <w:vAlign w:val="center"/>
          </w:tcPr>
          <w:p>
            <w:pPr>
              <w:pStyle w:val="Normal"/>
              <w:spacing w:before="0" w:after="0"/>
              <w:rPr/>
            </w:pPr>
            <w:r>
              <w:rPr>
                <w:b/>
                <w:i w:val="false"/>
                <w:sz w:val="20"/>
              </w:rPr>
              <w:t>Objetivo técnico</w:t>
            </w:r>
          </w:p>
        </w:tc>
        <w:tc>
          <w:tcPr>
            <w:tcW w:w="5083" w:type="dxa"/>
            <w:tcBorders/>
            <w:vAlign w:val="center"/>
          </w:tcPr>
          <w:p>
            <w:pPr>
              <w:pStyle w:val="Normal"/>
              <w:spacing w:before="0" w:after="0"/>
              <w:rPr/>
            </w:pPr>
            <w:r>
              <w:rPr>
                <w:b w:val="false"/>
                <w:i w:val="false"/>
                <w:sz w:val="20"/>
              </w:rPr>
              <w:t>Explorar Backend con .NET/C#, EF Core, Microservices, Authentication/Authorization, Agentic AI y DevOps CI/CD con Docker.</w:t>
            </w:r>
          </w:p>
        </w:tc>
      </w:tr>
    </w:tbl>
    <w:p>
      <w:pPr>
        <w:pStyle w:val="Normal"/>
        <w:rPr/>
      </w:pPr>
      <w:r>
        <w:rPr/>
      </w:r>
    </w:p>
    <w:p>
      <w:pPr>
        <w:pStyle w:val="Heading1"/>
        <w:rPr/>
      </w:pPr>
      <w:r>
        <w:rPr/>
        <w:t>1. Objetivo del MVP</w:t>
      </w:r>
    </w:p>
    <w:p>
      <w:pPr>
        <w:pStyle w:val="Normal"/>
        <w:spacing w:before="0" w:after="100"/>
        <w:rPr/>
      </w:pPr>
      <w:r>
        <w:rPr>
          <w:b w:val="false"/>
          <w:i w:val="false"/>
          <w:sz w:val="22"/>
        </w:rPr>
        <w:t>El MVP no intenta construir un ServiceNow reducido. Su propósito es implementar el flujo de soporte mínimo que permita explorar de forma práctica arquitectura backend moderna, C# avanzado, EF Core, microservicios, seguridad de APIs, mensajería, AI Agents y automatización CI/CD.</w:t>
      </w:r>
    </w:p>
    <w:tbl>
      <w:tblPr>
        <w:tblW w:w="10166"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166"/>
      </w:tblGrid>
      <w:tr>
        <w:trPr/>
        <w:tc>
          <w:tcPr>
            <w:tcW w:w="10166" w:type="dxa"/>
            <w:tcBorders/>
            <w:shd w:fill="EAF0F8" w:val="clear"/>
          </w:tcPr>
          <w:p>
            <w:pPr>
              <w:pStyle w:val="Normal"/>
              <w:spacing w:before="0" w:after="40"/>
              <w:rPr/>
            </w:pPr>
            <w:r>
              <w:rPr>
                <w:b/>
                <w:i w:val="false"/>
                <w:color w:val="17365D"/>
                <w:sz w:val="21"/>
              </w:rPr>
              <w:t xml:space="preserve">Objetivo demostrable. </w:t>
            </w:r>
            <w:r>
              <w:rPr>
                <w:b w:val="false"/>
                <w:i w:val="false"/>
                <w:sz w:val="21"/>
              </w:rPr>
              <w:t>Crear un caso, clasificarlo, asignarlo, solicitar handoff, validar la escalación con AI, aceptar o devolver el handoff, resolver, cerrar y consultar métricas; todo autenticado, autorizado y ejecutándose en contenedores.</w:t>
            </w:r>
          </w:p>
        </w:tc>
      </w:tr>
    </w:tbl>
    <w:p>
      <w:pPr>
        <w:pStyle w:val="Normal"/>
        <w:rPr/>
      </w:pPr>
      <w:r>
        <w:rPr/>
      </w:r>
    </w:p>
    <w:p>
      <w:pPr>
        <w:pStyle w:val="Heading1"/>
        <w:rPr/>
      </w:pPr>
      <w:r>
        <w:rPr/>
        <w:t>2. Alcance funcional del MVP</w:t>
      </w:r>
    </w:p>
    <w:tbl>
      <w:tblPr>
        <w:tblW w:w="10167"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3389"/>
        <w:gridCol w:w="3389"/>
        <w:gridCol w:w="3389"/>
      </w:tblGrid>
      <w:tr>
        <w:trPr>
          <w:tblHeader w:val="true"/>
        </w:trPr>
        <w:tc>
          <w:tcPr>
            <w:tcW w:w="3389" w:type="dxa"/>
            <w:tcBorders/>
            <w:shd w:fill="17365D" w:val="clear"/>
            <w:vAlign w:val="center"/>
          </w:tcPr>
          <w:p>
            <w:pPr>
              <w:pStyle w:val="Normal"/>
              <w:spacing w:before="0" w:after="0"/>
              <w:rPr/>
            </w:pPr>
            <w:r>
              <w:rPr>
                <w:b/>
                <w:i w:val="false"/>
                <w:color w:val="FFFFFF"/>
                <w:sz w:val="18"/>
              </w:rPr>
              <w:t>Área</w:t>
            </w:r>
          </w:p>
        </w:tc>
        <w:tc>
          <w:tcPr>
            <w:tcW w:w="3389" w:type="dxa"/>
            <w:tcBorders/>
            <w:shd w:fill="17365D" w:val="clear"/>
            <w:vAlign w:val="center"/>
          </w:tcPr>
          <w:p>
            <w:pPr>
              <w:pStyle w:val="Normal"/>
              <w:spacing w:before="0" w:after="0"/>
              <w:rPr/>
            </w:pPr>
            <w:r>
              <w:rPr>
                <w:b/>
                <w:i w:val="false"/>
                <w:color w:val="FFFFFF"/>
                <w:sz w:val="18"/>
              </w:rPr>
              <w:t>Capacidad MVP</w:t>
            </w:r>
          </w:p>
        </w:tc>
        <w:tc>
          <w:tcPr>
            <w:tcW w:w="3389" w:type="dxa"/>
            <w:tcBorders/>
            <w:shd w:fill="17365D" w:val="clear"/>
            <w:vAlign w:val="center"/>
          </w:tcPr>
          <w:p>
            <w:pPr>
              <w:pStyle w:val="Normal"/>
              <w:spacing w:before="0" w:after="0"/>
              <w:rPr/>
            </w:pPr>
            <w:r>
              <w:rPr>
                <w:b/>
                <w:i w:val="false"/>
                <w:color w:val="FFFFFF"/>
                <w:sz w:val="18"/>
              </w:rPr>
              <w:t>Requerimientos</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Tickets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Crear, consultar, actualizar, reclasificar, resolver y cerrar casos.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FR-01,02,05,06,07,08,09,21</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Ownership y queues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Equipo responsable, analista opcional, colas y reasignación con historial.</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FR-10,11,12</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Handoff L1-L2</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Consulta vs handoff, validación mínima, aceptar/devolver/redirigir y transferencia formal de ownership.</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FR-14 a FR-18</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Continuidad</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Historial, notas internas/visibles y búsqueda de casos previos.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FR-23,24,26</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L2 directo</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Registro rápido de solicitudes que llegan directamente a un equipo especialista.</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FR-03</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Métricas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Volumen, backlog, tiempos y filtros básicos por equipo/tipo/categoría/prioridad/estado.</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FR-31,33</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Administración mínima</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Catálogos, equipos, colas y membresías.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FR-34,35</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Seguridad</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Authentication, roles, policies, autorización por recurso y tickets sensibles.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SEC-01 a SEC-07</w:t>
            </w:r>
          </w:p>
        </w:tc>
      </w:tr>
      <w:tr>
        <w:trPr>
          <w:trHeight w:val="1016" w:hRule="atLeast"/>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AI Agents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Triage, validación de escalamiento, búsqueda de similares y human-in-the-loop.</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AI-01 a AI-08</w:t>
            </w:r>
          </w:p>
        </w:tc>
      </w:tr>
    </w:tbl>
    <w:p>
      <w:pPr>
        <w:pStyle w:val="Normal"/>
        <w:rPr/>
      </w:pPr>
      <w:r>
        <w:rPr/>
      </w:r>
    </w:p>
    <w:p>
      <w:pPr>
        <w:pStyle w:val="Heading1"/>
        <w:rPr/>
      </w:pPr>
      <w:r>
        <w:rPr/>
        <w:t>3. Fuera del MVP</w:t>
      </w:r>
    </w:p>
    <w:p>
      <w:pPr>
        <w:pStyle w:val="ListBullet"/>
        <w:numPr>
          <w:ilvl w:val="0"/>
          <w:numId w:val="1"/>
        </w:numPr>
        <w:spacing w:before="0" w:after="40"/>
        <w:contextualSpacing/>
        <w:rPr/>
      </w:pPr>
      <w:r>
        <w:rPr>
          <w:b w:val="false"/>
          <w:i w:val="false"/>
          <w:sz w:val="22"/>
        </w:rPr>
        <w:t>Integración automática con Teams o correo.</w:t>
      </w:r>
    </w:p>
    <w:p>
      <w:pPr>
        <w:pStyle w:val="ListBullet"/>
        <w:numPr>
          <w:ilvl w:val="0"/>
          <w:numId w:val="1"/>
        </w:numPr>
        <w:spacing w:before="0" w:after="40"/>
        <w:contextualSpacing/>
        <w:rPr/>
      </w:pPr>
      <w:r>
        <w:rPr>
          <w:b w:val="false"/>
          <w:i w:val="false"/>
          <w:sz w:val="22"/>
        </w:rPr>
        <w:t>Knowledge Base formal o RAG corporativo completo.</w:t>
      </w:r>
    </w:p>
    <w:p>
      <w:pPr>
        <w:pStyle w:val="ListBullet"/>
        <w:numPr>
          <w:ilvl w:val="0"/>
          <w:numId w:val="1"/>
        </w:numPr>
        <w:spacing w:before="0" w:after="40"/>
        <w:contextualSpacing/>
        <w:rPr/>
      </w:pPr>
      <w:r>
        <w:rPr>
          <w:b w:val="false"/>
          <w:i w:val="false"/>
          <w:sz w:val="22"/>
        </w:rPr>
        <w:t>Workflows de accesos, expiración y offboarding.</w:t>
      </w:r>
    </w:p>
    <w:p>
      <w:pPr>
        <w:pStyle w:val="ListBullet"/>
        <w:numPr>
          <w:ilvl w:val="0"/>
          <w:numId w:val="1"/>
        </w:numPr>
        <w:spacing w:before="0" w:after="40"/>
        <w:contextualSpacing/>
        <w:rPr/>
      </w:pPr>
      <w:r>
        <w:rPr>
          <w:b w:val="false"/>
          <w:i w:val="false"/>
          <w:sz w:val="22"/>
        </w:rPr>
        <w:t>Portal de autoservicio completo para empleados.</w:t>
      </w:r>
    </w:p>
    <w:p>
      <w:pPr>
        <w:pStyle w:val="ListBullet"/>
        <w:numPr>
          <w:ilvl w:val="0"/>
          <w:numId w:val="1"/>
        </w:numPr>
        <w:spacing w:before="0" w:after="40"/>
        <w:contextualSpacing/>
        <w:rPr/>
      </w:pPr>
      <w:r>
        <w:rPr>
          <w:b w:val="false"/>
          <w:i w:val="false"/>
          <w:sz w:val="22"/>
        </w:rPr>
        <w:t>SLA/OLA avanzados y dashboards ejecutivos.</w:t>
      </w:r>
    </w:p>
    <w:p>
      <w:pPr>
        <w:pStyle w:val="ListBullet"/>
        <w:numPr>
          <w:ilvl w:val="0"/>
          <w:numId w:val="1"/>
        </w:numPr>
        <w:spacing w:before="0" w:after="40"/>
        <w:contextualSpacing/>
        <w:rPr/>
      </w:pPr>
      <w:r>
        <w:rPr>
          <w:b w:val="false"/>
          <w:i w:val="false"/>
          <w:sz w:val="22"/>
        </w:rPr>
        <w:t>React como requisito de cierre del MVP. Swagger/Scalar o Postman serán suficientes para validar el backend.</w:t>
      </w:r>
    </w:p>
    <w:p>
      <w:pPr>
        <w:pStyle w:val="ListBullet"/>
        <w:numPr>
          <w:ilvl w:val="0"/>
          <w:numId w:val="1"/>
        </w:numPr>
        <w:spacing w:before="0" w:after="40"/>
        <w:contextualSpacing/>
        <w:rPr/>
      </w:pPr>
      <w:r>
        <w:rPr>
          <w:b w:val="false"/>
          <w:i w:val="false"/>
          <w:sz w:val="22"/>
        </w:rPr>
        <w:t>Kubernetes, Helm, Terraform, service mesh, blue/green y canary deployments.</w:t>
      </w:r>
    </w:p>
    <w:p>
      <w:pPr>
        <w:pStyle w:val="ListBullet"/>
        <w:numPr>
          <w:ilvl w:val="0"/>
          <w:numId w:val="1"/>
        </w:numPr>
        <w:spacing w:before="0" w:after="40"/>
        <w:contextualSpacing/>
        <w:rPr/>
      </w:pPr>
      <w:r>
        <w:rPr>
          <w:b w:val="false"/>
          <w:i w:val="false"/>
          <w:sz w:val="22"/>
        </w:rPr>
        <w:t>Autonomía total de agentes AI para modificar tickets sin aprobación humana.</w:t>
      </w:r>
    </w:p>
    <w:p>
      <w:pPr>
        <w:pStyle w:val="Heading1"/>
        <w:rPr/>
      </w:pPr>
      <w:r>
        <w:rPr/>
        <w:t>4. Arquitectura del MVP</w:t>
      </w:r>
    </w:p>
    <w:p>
      <w:pPr>
        <w:pStyle w:val="Normal"/>
        <w:spacing w:before="0" w:after="100"/>
        <w:rPr/>
      </w:pPr>
      <w:r>
        <w:rPr>
          <w:b w:val="false"/>
          <w:i w:val="false"/>
          <w:sz w:val="22"/>
        </w:rPr>
        <w:t>Se utilizará un monorepo con cuatro servicios de aplicación. Para reducir complejidad, un mismo contenedor de SQL Server puede alojar bases lógicas separadas, pero cada servicio debe respetar ownership de sus datos y no consultar tablas privadas de otro servicio.</w:t>
      </w:r>
    </w:p>
    <w:tbl>
      <w:tblPr>
        <w:tblW w:w="10167"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3389"/>
        <w:gridCol w:w="3389"/>
        <w:gridCol w:w="3389"/>
      </w:tblGrid>
      <w:tr>
        <w:trPr>
          <w:tblHeader w:val="true"/>
        </w:trPr>
        <w:tc>
          <w:tcPr>
            <w:tcW w:w="3389" w:type="dxa"/>
            <w:tcBorders/>
            <w:shd w:fill="17365D" w:val="clear"/>
            <w:vAlign w:val="center"/>
          </w:tcPr>
          <w:p>
            <w:pPr>
              <w:pStyle w:val="Normal"/>
              <w:spacing w:before="0" w:after="0"/>
              <w:rPr/>
            </w:pPr>
            <w:r>
              <w:rPr>
                <w:b/>
                <w:i w:val="false"/>
                <w:color w:val="FFFFFF"/>
                <w:sz w:val="18"/>
              </w:rPr>
              <w:t>Componente</w:t>
            </w:r>
          </w:p>
        </w:tc>
        <w:tc>
          <w:tcPr>
            <w:tcW w:w="3389" w:type="dxa"/>
            <w:tcBorders/>
            <w:shd w:fill="17365D" w:val="clear"/>
            <w:vAlign w:val="center"/>
          </w:tcPr>
          <w:p>
            <w:pPr>
              <w:pStyle w:val="Normal"/>
              <w:spacing w:before="0" w:after="0"/>
              <w:rPr/>
            </w:pPr>
            <w:r>
              <w:rPr>
                <w:b/>
                <w:i w:val="false"/>
                <w:color w:val="FFFFFF"/>
                <w:sz w:val="18"/>
              </w:rPr>
              <w:t>Tecnología/rol</w:t>
            </w:r>
          </w:p>
        </w:tc>
        <w:tc>
          <w:tcPr>
            <w:tcW w:w="3389" w:type="dxa"/>
            <w:tcBorders/>
            <w:shd w:fill="17365D" w:val="clear"/>
            <w:vAlign w:val="center"/>
          </w:tcPr>
          <w:p>
            <w:pPr>
              <w:pStyle w:val="Normal"/>
              <w:spacing w:before="0" w:after="0"/>
              <w:rPr/>
            </w:pPr>
            <w:r>
              <w:rPr>
                <w:b/>
                <w:i w:val="false"/>
                <w:color w:val="FFFFFF"/>
                <w:sz w:val="18"/>
              </w:rPr>
              <w:t>Responsabilidad</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Identity Service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ASP.NET Core + Identity/EF</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Usuarios, credenciales, roles, emisión/validación de JWT para el MVP.</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Ticket Service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ASP.NET Core Web API + EF Core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Dominio principal: tickets, lifecycle, queues, handoffs, historial, catálogos y auditoría.</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AI Agent Service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.NET Worker/API + Agent runtime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Triage, validación de handoff, tools, similares y registro de recomendaciones.</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Reporting Service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.NET API/Worker + read model</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Consume eventos y mantiene métricas básicas sin leer la BD del Ticket Service.</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RabbitMQ</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Message broker</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Eventos de integración entre Ticket, AI y Reporting.</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SQL Server</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Persistencia</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Bases lógicas separadas para Identity, Ticket y Reporting.</w:t>
            </w:r>
          </w:p>
        </w:tc>
      </w:tr>
    </w:tbl>
    <w:p>
      <w:pPr>
        <w:pStyle w:val="Normal"/>
        <w:rPr/>
      </w:pPr>
      <w:r>
        <w:rPr/>
      </w:r>
    </w:p>
    <w:p>
      <w:pPr>
        <w:pStyle w:val="Heading2"/>
        <w:rPr/>
      </w:pPr>
      <w:r>
        <w:rPr/>
        <w:t>4.1 Flujo lógico</w:t>
      </w:r>
    </w:p>
    <w:tbl>
      <w:tblPr>
        <w:tblW w:w="10167"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3389"/>
        <w:gridCol w:w="3389"/>
        <w:gridCol w:w="3389"/>
      </w:tblGrid>
      <w:tr>
        <w:trPr>
          <w:tblHeader w:val="true"/>
        </w:trPr>
        <w:tc>
          <w:tcPr>
            <w:tcW w:w="3389" w:type="dxa"/>
            <w:tcBorders/>
            <w:shd w:fill="17365D" w:val="clear"/>
            <w:vAlign w:val="center"/>
          </w:tcPr>
          <w:p>
            <w:pPr>
              <w:pStyle w:val="Normal"/>
              <w:spacing w:before="0" w:after="0"/>
              <w:rPr/>
            </w:pPr>
            <w:r>
              <w:rPr>
                <w:b/>
                <w:i w:val="false"/>
                <w:color w:val="FFFFFF"/>
                <w:sz w:val="18"/>
              </w:rPr>
              <w:t>Paso</w:t>
            </w:r>
          </w:p>
        </w:tc>
        <w:tc>
          <w:tcPr>
            <w:tcW w:w="3389" w:type="dxa"/>
            <w:tcBorders/>
            <w:shd w:fill="17365D" w:val="clear"/>
            <w:vAlign w:val="center"/>
          </w:tcPr>
          <w:p>
            <w:pPr>
              <w:pStyle w:val="Normal"/>
              <w:spacing w:before="0" w:after="0"/>
              <w:rPr/>
            </w:pPr>
            <w:r>
              <w:rPr>
                <w:b/>
                <w:i w:val="false"/>
                <w:color w:val="FFFFFF"/>
                <w:sz w:val="18"/>
              </w:rPr>
              <w:t>Actor</w:t>
            </w:r>
          </w:p>
        </w:tc>
        <w:tc>
          <w:tcPr>
            <w:tcW w:w="3389" w:type="dxa"/>
            <w:tcBorders/>
            <w:shd w:fill="17365D" w:val="clear"/>
            <w:vAlign w:val="center"/>
          </w:tcPr>
          <w:p>
            <w:pPr>
              <w:pStyle w:val="Normal"/>
              <w:spacing w:before="0" w:after="0"/>
              <w:rPr/>
            </w:pPr>
            <w:r>
              <w:rPr>
                <w:b/>
                <w:i w:val="false"/>
                <w:color w:val="FFFFFF"/>
                <w:sz w:val="18"/>
              </w:rPr>
              <w:t>Acción</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1</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Cliente autenticado</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Obtiene JWT en Identity Service.</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2</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Ticket Service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Crea caso y persiste Ticket + OutboxMessage en una transacción.</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3</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Outbox publisher</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Publica TicketCreated en RabbitMQ.</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4</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AI Agent Service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Consume el evento, llama tools autorizadas y genera recomendación estructurada.</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5</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Humano</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Acepta o ajusta recomendación; Ticket Service conserva la decisión.</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6</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Service Desk</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Solicita handoff. AI valida información mínima antes de enviar.</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7</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L2</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Acepta, devuelve o redirige. Ownership cambia solo al aceptar.</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8</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Reporting</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Consume eventos y actualiza read model de métricas.</w:t>
            </w:r>
          </w:p>
        </w:tc>
      </w:tr>
    </w:tbl>
    <w:p>
      <w:pPr>
        <w:pStyle w:val="Normal"/>
        <w:rPr/>
      </w:pPr>
      <w:r>
        <w:rPr/>
      </w:r>
    </w:p>
    <w:p>
      <w:pPr>
        <w:pStyle w:val="Heading1"/>
        <w:rPr/>
      </w:pPr>
      <w:r>
        <w:rPr/>
        <w:t>5. Estructura propuesta del repositorio</w:t>
      </w:r>
    </w:p>
    <w:p>
      <w:pPr>
        <w:pStyle w:val="Normal"/>
        <w:spacing w:before="0" w:after="160"/>
        <w:rPr/>
      </w:pPr>
      <w:r>
        <w:rPr>
          <w:rFonts w:ascii="DejaVu Sans Mono" w:hAnsi="DejaVu Sans Mono"/>
          <w:b w:val="false"/>
          <w:i w:val="false"/>
          <w:sz w:val="18"/>
        </w:rPr>
        <w:t>ServiceDesk/</w:t>
        <w:br/>
        <w:t>├── src/</w:t>
        <w:br/>
        <w:t>│   ├── IdentityService/</w:t>
        <w:br/>
        <w:t>│   ├── TicketService/</w:t>
        <w:br/>
        <w:t>│   ├── AiAgentService/</w:t>
        <w:br/>
        <w:t>│   └── ReportingService/</w:t>
        <w:br/>
        <w:t>├── tests/</w:t>
        <w:br/>
        <w:t>│   ├── Ticket.Domain.Tests/</w:t>
        <w:br/>
        <w:t>│   ├── Ticket.Application.Tests/</w:t>
        <w:br/>
        <w:t>│   ├── Ticket.IntegrationTests/</w:t>
        <w:br/>
        <w:t>│   └── AiAgent.Tests/</w:t>
        <w:br/>
        <w:t>├── deploy/</w:t>
        <w:br/>
        <w:t>│   ├── docker-compose.yml</w:t>
        <w:br/>
        <w:t>│   ├── docker-compose.override.yml</w:t>
        <w:br/>
        <w:t>│   └── staging/</w:t>
        <w:br/>
        <w:t>├── .github/workflows/</w:t>
        <w:br/>
        <w:t>│   ├── ci.yml</w:t>
        <w:br/>
        <w:t>│   └── cd.yml</w:t>
        <w:br/>
        <w:t>├── docs/</w:t>
        <w:br/>
        <w:t>└── ServiceDesk.sln</w:t>
      </w:r>
    </w:p>
    <w:p>
      <w:pPr>
        <w:pStyle w:val="Heading1"/>
        <w:rPr/>
      </w:pPr>
      <w:r>
        <w:rPr/>
        <w:t>6. Backend y C# avanzado</w:t>
      </w:r>
    </w:p>
    <w:tbl>
      <w:tblPr>
        <w:tblW w:w="10166"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5083"/>
        <w:gridCol w:w="5083"/>
      </w:tblGrid>
      <w:tr>
        <w:trPr>
          <w:tblHeader w:val="true"/>
        </w:trPr>
        <w:tc>
          <w:tcPr>
            <w:tcW w:w="5083" w:type="dxa"/>
            <w:tcBorders/>
            <w:shd w:fill="17365D" w:val="clear"/>
            <w:vAlign w:val="center"/>
          </w:tcPr>
          <w:p>
            <w:pPr>
              <w:pStyle w:val="Normal"/>
              <w:spacing w:before="0" w:after="0"/>
              <w:rPr/>
            </w:pPr>
            <w:r>
              <w:rPr>
                <w:b/>
                <w:i w:val="false"/>
                <w:color w:val="FFFFFF"/>
                <w:sz w:val="18"/>
              </w:rPr>
              <w:t>Tema</w:t>
            </w:r>
          </w:p>
        </w:tc>
        <w:tc>
          <w:tcPr>
            <w:tcW w:w="5083" w:type="dxa"/>
            <w:tcBorders/>
            <w:shd w:fill="17365D" w:val="clear"/>
            <w:vAlign w:val="center"/>
          </w:tcPr>
          <w:p>
            <w:pPr>
              <w:pStyle w:val="Normal"/>
              <w:spacing w:before="0" w:after="0"/>
              <w:rPr/>
            </w:pPr>
            <w:r>
              <w:rPr>
                <w:b/>
                <w:i w:val="false"/>
                <w:color w:val="FFFFFF"/>
                <w:sz w:val="18"/>
              </w:rPr>
              <w:t>Aplicación concreta</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Records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Commands, DTOs, integration events y respuestas estructuradas.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Value Objects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Priority, TicketNumber, TeamId u otros conceptos donde aporte invariantes.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Pattern matching</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Transiciones de estado, reglas de handoff y decisiones de dominio.</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Result&lt;T&gt;</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Errores de aplicación y dominio sin usar excepciones como flujo normal.</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Domain Events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TicketCreated, TicketAssigned, HandoffRequested, HandoffAccepted, TicketResolved.</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Async/await + CancellationToken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Todas las operaciones I/O y handlers relevantes.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Generics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Result&lt;T&gt;, pipelines o validadores reutilizables donde tenga sentido.</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BackgroundService</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Outbox publisher y consumidores de mensajería.</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Dependency Injection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Scopes, lifetimes y separación por interfaces.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Concurrency</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RowVersion y manejo de DbUpdateConcurrencyException.</w:t>
            </w:r>
          </w:p>
        </w:tc>
      </w:tr>
    </w:tbl>
    <w:p>
      <w:pPr>
        <w:pStyle w:val="Normal"/>
        <w:rPr/>
      </w:pPr>
      <w:r>
        <w:rPr/>
      </w:r>
    </w:p>
    <w:p>
      <w:pPr>
        <w:pStyle w:val="Heading1"/>
        <w:rPr/>
      </w:pPr>
      <w:r>
        <w:rPr/>
        <w:t>7. EF Core</w:t>
      </w:r>
    </w:p>
    <w:tbl>
      <w:tblPr>
        <w:tblW w:w="10166"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5083"/>
        <w:gridCol w:w="5083"/>
      </w:tblGrid>
      <w:tr>
        <w:trPr>
          <w:tblHeader w:val="true"/>
        </w:trPr>
        <w:tc>
          <w:tcPr>
            <w:tcW w:w="5083" w:type="dxa"/>
            <w:tcBorders/>
            <w:shd w:fill="17365D" w:val="clear"/>
            <w:vAlign w:val="center"/>
          </w:tcPr>
          <w:p>
            <w:pPr>
              <w:pStyle w:val="Normal"/>
              <w:spacing w:before="0" w:after="0"/>
              <w:rPr/>
            </w:pPr>
            <w:r>
              <w:rPr>
                <w:b/>
                <w:i w:val="false"/>
                <w:color w:val="FFFFFF"/>
                <w:sz w:val="18"/>
              </w:rPr>
              <w:t>Tema EF</w:t>
            </w:r>
          </w:p>
        </w:tc>
        <w:tc>
          <w:tcPr>
            <w:tcW w:w="5083" w:type="dxa"/>
            <w:tcBorders/>
            <w:shd w:fill="17365D" w:val="clear"/>
            <w:vAlign w:val="center"/>
          </w:tcPr>
          <w:p>
            <w:pPr>
              <w:pStyle w:val="Normal"/>
              <w:spacing w:before="0" w:after="0"/>
              <w:rPr/>
            </w:pPr>
            <w:r>
              <w:rPr>
                <w:b/>
                <w:i w:val="false"/>
                <w:color w:val="FFFFFF"/>
                <w:sz w:val="18"/>
              </w:rPr>
              <w:t>Uso en el MVP</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Modelo inicial</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Ticket, Team, UserReference, Category, TicketComment, TicketHistory, Handoff, AiRecommendation, OutboxMessage.</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Code First</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Migrations versionadas en el repositorio.</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Fluent API</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Relaciones, índices, longitudes, conversiones y constraints.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Projections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Lecturas eficientes de queues y búsquedas.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Tracking</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Usar AsNoTracking para queries de lectura cuando aplique.</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Transactions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Persistencia de agregados y Outbox en la misma transacción.</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Interceptors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Explorar auditoría o timestamps cuando sea útil.</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Optimistic concurrency</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RowVersion en Ticket y conflicto explícito en actualizaciones concurrentes.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Pagination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Listados de tickets y búsqueda.</w:t>
            </w:r>
          </w:p>
        </w:tc>
      </w:tr>
    </w:tbl>
    <w:p>
      <w:pPr>
        <w:pStyle w:val="Normal"/>
        <w:rPr/>
      </w:pPr>
      <w:r>
        <w:rPr/>
      </w:r>
    </w:p>
    <w:p>
      <w:pPr>
        <w:pStyle w:val="Heading1"/>
        <w:rPr/>
      </w:pPr>
      <w:r>
        <w:rPr/>
        <w:t>8. Authentication y Authorization</w:t>
      </w:r>
    </w:p>
    <w:p>
      <w:pPr>
        <w:pStyle w:val="Normal"/>
        <w:spacing w:before="0" w:after="100"/>
        <w:rPr/>
      </w:pPr>
      <w:r>
        <w:rPr>
          <w:b w:val="false"/>
          <w:i w:val="false"/>
          <w:sz w:val="22"/>
        </w:rPr>
        <w:t>El MVP incorporará seguridad desde el inicio. Para aprendizaje se implementará un Identity Service pequeño con ASP.NET Core Identity y emisión de JWT propia para usuarios y service identities. No se pretende construir un proveedor OAuth/OIDC completo.</w:t>
      </w:r>
    </w:p>
    <w:tbl>
      <w:tblPr>
        <w:tblW w:w="10166"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5083"/>
        <w:gridCol w:w="5083"/>
      </w:tblGrid>
      <w:tr>
        <w:trPr>
          <w:tblHeader w:val="true"/>
        </w:trPr>
        <w:tc>
          <w:tcPr>
            <w:tcW w:w="5083" w:type="dxa"/>
            <w:tcBorders/>
            <w:shd w:fill="17365D" w:val="clear"/>
            <w:vAlign w:val="center"/>
          </w:tcPr>
          <w:p>
            <w:pPr>
              <w:pStyle w:val="Normal"/>
              <w:spacing w:before="0" w:after="0"/>
              <w:rPr/>
            </w:pPr>
            <w:r>
              <w:rPr>
                <w:b/>
                <w:i w:val="false"/>
                <w:color w:val="FFFFFF"/>
                <w:sz w:val="18"/>
              </w:rPr>
              <w:t>Área</w:t>
            </w:r>
          </w:p>
        </w:tc>
        <w:tc>
          <w:tcPr>
            <w:tcW w:w="5083" w:type="dxa"/>
            <w:tcBorders/>
            <w:shd w:fill="17365D" w:val="clear"/>
            <w:vAlign w:val="center"/>
          </w:tcPr>
          <w:p>
            <w:pPr>
              <w:pStyle w:val="Normal"/>
              <w:spacing w:before="0" w:after="0"/>
              <w:rPr/>
            </w:pPr>
            <w:r>
              <w:rPr>
                <w:b/>
                <w:i w:val="false"/>
                <w:color w:val="FFFFFF"/>
                <w:sz w:val="18"/>
              </w:rPr>
              <w:t>Implementación MVP</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Authentication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Login, hash de contraseña mediante Identity, emisión y expiración de JWT.</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Roles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Requester, ServiceDeskAgent, L2Agent, Administrator.</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Policies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CanCreateTicket, CanTriageTicket, CanRequestHandoff, CanAcceptHandoff, CanCloseTicket, CanViewSensitiveTicket, CanManageCatalogs.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Resource authorization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Validar equipo receptor, ownership y sensibilidad del ticket mediante AuthorizationHandler.</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M2M</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AI Agent Service y Reporting Service usan identidad de servicio y claims mínimos.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Pruebas negativas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401 para no autenticado; 403 para autenticado sin permiso; ticket sensible inaccesible por ID.</w:t>
            </w:r>
          </w:p>
        </w:tc>
      </w:tr>
    </w:tbl>
    <w:p>
      <w:pPr>
        <w:pStyle w:val="Normal"/>
        <w:rPr/>
      </w:pPr>
      <w:r>
        <w:rPr/>
      </w:r>
    </w:p>
    <w:p>
      <w:pPr>
        <w:pStyle w:val="Heading1"/>
        <w:rPr/>
      </w:pPr>
      <w:r>
        <w:rPr/>
        <w:t>9. Microservices y mensajería</w:t>
      </w:r>
    </w:p>
    <w:tbl>
      <w:tblPr>
        <w:tblW w:w="10166"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5083"/>
        <w:gridCol w:w="5083"/>
      </w:tblGrid>
      <w:tr>
        <w:trPr>
          <w:tblHeader w:val="true"/>
        </w:trPr>
        <w:tc>
          <w:tcPr>
            <w:tcW w:w="5083" w:type="dxa"/>
            <w:tcBorders/>
            <w:shd w:fill="17365D" w:val="clear"/>
            <w:vAlign w:val="center"/>
          </w:tcPr>
          <w:p>
            <w:pPr>
              <w:pStyle w:val="Normal"/>
              <w:spacing w:before="0" w:after="0"/>
              <w:rPr/>
            </w:pPr>
            <w:r>
              <w:rPr>
                <w:b/>
                <w:i w:val="false"/>
                <w:color w:val="FFFFFF"/>
                <w:sz w:val="18"/>
              </w:rPr>
              <w:t>Concepto</w:t>
            </w:r>
          </w:p>
        </w:tc>
        <w:tc>
          <w:tcPr>
            <w:tcW w:w="5083" w:type="dxa"/>
            <w:tcBorders/>
            <w:shd w:fill="17365D" w:val="clear"/>
            <w:vAlign w:val="center"/>
          </w:tcPr>
          <w:p>
            <w:pPr>
              <w:pStyle w:val="Normal"/>
              <w:spacing w:before="0" w:after="0"/>
              <w:rPr/>
            </w:pPr>
            <w:r>
              <w:rPr>
                <w:b/>
                <w:i w:val="false"/>
                <w:color w:val="FFFFFF"/>
                <w:sz w:val="18"/>
              </w:rPr>
              <w:t>Aplicación</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RabbitMQ</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Broker local y staging mediante Docker.</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Integration Events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Contratos versionables entre servicios; no compartir entidades EF.</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Transactional Outbox</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Ticket y evento se guardan en una misma transacción; worker publica después.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Idempotencia</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Reporting y AI deben tolerar recepción repetida de eventos.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Database ownership</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Cada servicio mantiene su propio esquema/base lógica.</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API contracts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AI consulta Ticket Service mediante tools/API autorizadas, nunca por SQL directo.</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Failure isolation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Si AI falla, el flujo core continúa manualmente.</w:t>
            </w:r>
          </w:p>
        </w:tc>
      </w:tr>
    </w:tbl>
    <w:p>
      <w:pPr>
        <w:pStyle w:val="Normal"/>
        <w:rPr/>
      </w:pPr>
      <w:r>
        <w:rPr/>
      </w:r>
    </w:p>
    <w:p>
      <w:pPr>
        <w:pStyle w:val="Heading1"/>
        <w:rPr/>
      </w:pPr>
      <w:r>
        <w:rPr/>
        <w:t>10. AI Agents</w:t>
      </w:r>
    </w:p>
    <w:p>
      <w:pPr>
        <w:pStyle w:val="Heading2"/>
        <w:rPr/>
      </w:pPr>
      <w:r>
        <w:rPr/>
        <w:t>10.1 Triage Agent</w:t>
      </w:r>
    </w:p>
    <w:p>
      <w:pPr>
        <w:pStyle w:val="Normal"/>
        <w:spacing w:before="0" w:after="100"/>
        <w:rPr/>
      </w:pPr>
      <w:r>
        <w:rPr>
          <w:b w:val="false"/>
          <w:i w:val="false"/>
          <w:sz w:val="22"/>
        </w:rPr>
        <w:t>Al crearse o revisarse un ticket, el agente usa tools como GetTicket, GetCategories, GetTeams y SearchSimilarTickets. Devuelve una salida estructurada con tipo, categoría, prioridad, equipo recomendado, confianza, explicación breve e información faltante. El analista confirma o modifica la propuesta.</w:t>
      </w:r>
    </w:p>
    <w:p>
      <w:pPr>
        <w:pStyle w:val="Heading2"/>
        <w:rPr/>
      </w:pPr>
      <w:r>
        <w:rPr/>
        <w:t>10.2 Escalation Validation Agent</w:t>
      </w:r>
    </w:p>
    <w:p>
      <w:pPr>
        <w:pStyle w:val="Normal"/>
        <w:spacing w:before="0" w:after="100"/>
        <w:rPr/>
      </w:pPr>
      <w:r>
        <w:rPr>
          <w:b w:val="false"/>
          <w:i w:val="false"/>
          <w:sz w:val="22"/>
        </w:rPr>
        <w:t>Antes de solicitar handoff, el agente consulta reglas y datos mínimos del equipo receptor. Si faltan evidencias o verificaciones, las señala. El analista conserva la decisión final de continuar o completar información.</w:t>
      </w:r>
    </w:p>
    <w:p>
      <w:pPr>
        <w:pStyle w:val="Heading2"/>
        <w:rPr/>
      </w:pPr>
      <w:r>
        <w:rPr/>
        <w:t>10.3 Similar Case Assistant</w:t>
      </w:r>
    </w:p>
    <w:p>
      <w:pPr>
        <w:pStyle w:val="Normal"/>
        <w:spacing w:before="0" w:after="100"/>
        <w:rPr/>
      </w:pPr>
      <w:r>
        <w:rPr>
          <w:b w:val="false"/>
          <w:i w:val="false"/>
          <w:sz w:val="22"/>
        </w:rPr>
        <w:t>El agente busca casos previos por texto y atributos estructurados. En una primera versión no requiere un vector database; puede comenzar con búsqueda SQL/textual y evolucionar posteriormente a embeddings o RAG.</w:t>
      </w:r>
    </w:p>
    <w:p>
      <w:pPr>
        <w:pStyle w:val="Heading2"/>
        <w:rPr/>
      </w:pPr>
      <w:r>
        <w:rPr/>
        <w:t>10.4 Guardrails del MVP</w:t>
      </w:r>
    </w:p>
    <w:p>
      <w:pPr>
        <w:pStyle w:val="ListBullet"/>
        <w:numPr>
          <w:ilvl w:val="0"/>
          <w:numId w:val="1"/>
        </w:numPr>
        <w:spacing w:before="0" w:after="40"/>
        <w:contextualSpacing/>
        <w:rPr/>
      </w:pPr>
      <w:r>
        <w:rPr>
          <w:b w:val="false"/>
          <w:i w:val="false"/>
          <w:sz w:val="22"/>
        </w:rPr>
        <w:t>Human-in-the-loop para clasificación, prioridad y cambio de ownership.</w:t>
      </w:r>
    </w:p>
    <w:p>
      <w:pPr>
        <w:pStyle w:val="ListBullet"/>
        <w:numPr>
          <w:ilvl w:val="0"/>
          <w:numId w:val="1"/>
        </w:numPr>
        <w:spacing w:before="0" w:after="40"/>
        <w:contextualSpacing/>
        <w:rPr/>
      </w:pPr>
      <w:r>
        <w:rPr>
          <w:b w:val="false"/>
          <w:i w:val="false"/>
          <w:sz w:val="22"/>
        </w:rPr>
        <w:t>Tools con permisos mínimos y autenticación M2M.</w:t>
      </w:r>
    </w:p>
    <w:p>
      <w:pPr>
        <w:pStyle w:val="ListBullet"/>
        <w:numPr>
          <w:ilvl w:val="0"/>
          <w:numId w:val="1"/>
        </w:numPr>
        <w:spacing w:before="0" w:after="40"/>
        <w:contextualSpacing/>
        <w:rPr/>
      </w:pPr>
      <w:r>
        <w:rPr>
          <w:b w:val="false"/>
          <w:i w:val="false"/>
          <w:sz w:val="22"/>
        </w:rPr>
        <w:t>Sin acceso directo a bases de datos de otros servicios.</w:t>
      </w:r>
    </w:p>
    <w:p>
      <w:pPr>
        <w:pStyle w:val="ListBullet"/>
        <w:numPr>
          <w:ilvl w:val="0"/>
          <w:numId w:val="1"/>
        </w:numPr>
        <w:spacing w:before="0" w:after="40"/>
        <w:contextualSpacing/>
        <w:rPr/>
      </w:pPr>
      <w:r>
        <w:rPr>
          <w:b w:val="false"/>
          <w:i w:val="false"/>
          <w:sz w:val="22"/>
        </w:rPr>
        <w:t>Salida estructurada validada antes de almacenarse.</w:t>
      </w:r>
    </w:p>
    <w:p>
      <w:pPr>
        <w:pStyle w:val="ListBullet"/>
        <w:numPr>
          <w:ilvl w:val="0"/>
          <w:numId w:val="1"/>
        </w:numPr>
        <w:spacing w:before="0" w:after="40"/>
        <w:contextualSpacing/>
        <w:rPr/>
      </w:pPr>
      <w:r>
        <w:rPr>
          <w:b w:val="false"/>
          <w:i w:val="false"/>
          <w:sz w:val="22"/>
        </w:rPr>
        <w:t>Auditoría de recomendación y decisión humana.</w:t>
      </w:r>
    </w:p>
    <w:p>
      <w:pPr>
        <w:pStyle w:val="ListBullet"/>
        <w:numPr>
          <w:ilvl w:val="0"/>
          <w:numId w:val="1"/>
        </w:numPr>
        <w:spacing w:before="0" w:after="40"/>
        <w:contextualSpacing/>
        <w:rPr/>
      </w:pPr>
      <w:r>
        <w:rPr>
          <w:b w:val="false"/>
          <w:i w:val="false"/>
          <w:sz w:val="22"/>
        </w:rPr>
        <w:t>Timeout y fallback manual si el modelo o Agent Service no responden.</w:t>
      </w:r>
    </w:p>
    <w:p>
      <w:pPr>
        <w:pStyle w:val="Heading1"/>
        <w:rPr/>
      </w:pPr>
      <w:r>
        <w:rPr/>
        <w:t>11. Docker y entorno local</w:t>
      </w:r>
    </w:p>
    <w:tbl>
      <w:tblPr>
        <w:tblW w:w="10166"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5083"/>
        <w:gridCol w:w="5083"/>
      </w:tblGrid>
      <w:tr>
        <w:trPr>
          <w:tblHeader w:val="true"/>
        </w:trPr>
        <w:tc>
          <w:tcPr>
            <w:tcW w:w="5083" w:type="dxa"/>
            <w:tcBorders/>
            <w:shd w:fill="17365D" w:val="clear"/>
            <w:vAlign w:val="center"/>
          </w:tcPr>
          <w:p>
            <w:pPr>
              <w:pStyle w:val="Normal"/>
              <w:spacing w:before="0" w:after="0"/>
              <w:rPr/>
            </w:pPr>
            <w:r>
              <w:rPr>
                <w:b/>
                <w:i w:val="false"/>
                <w:color w:val="FFFFFF"/>
                <w:sz w:val="18"/>
              </w:rPr>
              <w:t>Elemento</w:t>
            </w:r>
          </w:p>
        </w:tc>
        <w:tc>
          <w:tcPr>
            <w:tcW w:w="5083" w:type="dxa"/>
            <w:tcBorders/>
            <w:shd w:fill="17365D" w:val="clear"/>
            <w:vAlign w:val="center"/>
          </w:tcPr>
          <w:p>
            <w:pPr>
              <w:pStyle w:val="Normal"/>
              <w:spacing w:before="0" w:after="0"/>
              <w:rPr/>
            </w:pPr>
            <w:r>
              <w:rPr>
                <w:b/>
                <w:i w:val="false"/>
                <w:color w:val="FFFFFF"/>
                <w:sz w:val="18"/>
              </w:rPr>
              <w:t>Uso</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Dockerfile por servicio</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Multi-stage build: SDK para build/publish y ASP.NET runtime para imagen final.</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docker-compose.yml</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Identity, Ticket, AI, Reporting, SQL Server y RabbitMQ.</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docker-compose.override.yml</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Configuración local, puertos de desarrollo y RabbitMQ management UI.</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Persistencia local</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Volumes para SQL Server y RabbitMQ donde sea conveniente.</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Configuración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Variables de entorno; User Secrets fuera de contenedores; .env solo para valores no sensibles o desarrollo local y nunca versionado con secretos.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Health checks</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Cada servicio expone /health; compose y CD los usan para verificar disponibilidad.</w:t>
            </w:r>
          </w:p>
        </w:tc>
      </w:tr>
    </w:tbl>
    <w:p>
      <w:pPr>
        <w:pStyle w:val="Normal"/>
        <w:rPr/>
      </w:pPr>
      <w:r>
        <w:rPr/>
      </w:r>
    </w:p>
    <w:p>
      <w:pPr>
        <w:pStyle w:val="Heading1"/>
        <w:rPr/>
      </w:pPr>
      <w:r>
        <w:rPr/>
        <w:t>12. CI/CD con GitHub Actions</w:t>
      </w:r>
    </w:p>
    <w:p>
      <w:pPr>
        <w:pStyle w:val="Normal"/>
        <w:spacing w:before="0" w:after="100"/>
        <w:rPr/>
      </w:pPr>
      <w:r>
        <w:rPr>
          <w:b w:val="false"/>
          <w:i w:val="false"/>
          <w:sz w:val="22"/>
        </w:rPr>
        <w:t>El pipeline se incorpora como parte del MVP porque los microservicios y contenedores necesitan builds reproducibles y una forma automática de validar que el sistema completo sigue funcionando.</w:t>
      </w:r>
    </w:p>
    <w:tbl>
      <w:tblPr>
        <w:tblW w:w="10166"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5083"/>
        <w:gridCol w:w="5083"/>
      </w:tblGrid>
      <w:tr>
        <w:trPr>
          <w:tblHeader w:val="true"/>
        </w:trPr>
        <w:tc>
          <w:tcPr>
            <w:tcW w:w="5083" w:type="dxa"/>
            <w:tcBorders/>
            <w:shd w:fill="17365D" w:val="clear"/>
            <w:vAlign w:val="center"/>
          </w:tcPr>
          <w:p>
            <w:pPr>
              <w:pStyle w:val="Normal"/>
              <w:spacing w:before="0" w:after="0"/>
              <w:rPr/>
            </w:pPr>
            <w:r>
              <w:rPr>
                <w:b/>
                <w:i w:val="false"/>
                <w:color w:val="FFFFFF"/>
                <w:sz w:val="18"/>
              </w:rPr>
              <w:t>Evento</w:t>
            </w:r>
          </w:p>
        </w:tc>
        <w:tc>
          <w:tcPr>
            <w:tcW w:w="5083" w:type="dxa"/>
            <w:tcBorders/>
            <w:shd w:fill="17365D" w:val="clear"/>
            <w:vAlign w:val="center"/>
          </w:tcPr>
          <w:p>
            <w:pPr>
              <w:pStyle w:val="Normal"/>
              <w:spacing w:before="0" w:after="0"/>
              <w:rPr/>
            </w:pPr>
            <w:r>
              <w:rPr>
                <w:b/>
                <w:i w:val="false"/>
                <w:color w:val="FFFFFF"/>
                <w:sz w:val="18"/>
              </w:rPr>
              <w:t>Pipeline</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Push a feature branch</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Restore → Build → Unit Tests.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Pull Request a main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Restore → Build → Unit Tests → Integration Tests → Docker Build → vulnerability checks básicos.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Merge a main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CI completo → version/tag → build de imágenes → push a GitHub Container Registry.</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Deploy staging</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GitHub Environment staging → secrets → pull de imágenes → migraciones controladas → docker compose up -d → health checks.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Fallo de health check</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Deployment marcado como fallido; conservar logs para diagnóstico.</w:t>
            </w:r>
          </w:p>
        </w:tc>
      </w:tr>
    </w:tbl>
    <w:p>
      <w:pPr>
        <w:pStyle w:val="Normal"/>
        <w:rPr/>
      </w:pPr>
      <w:r>
        <w:rPr/>
      </w:r>
    </w:p>
    <w:p>
      <w:pPr>
        <w:pStyle w:val="Heading2"/>
        <w:rPr/>
      </w:pPr>
      <w:r>
        <w:rPr/>
        <w:t>12.1 GitHub practices a explorar</w:t>
      </w:r>
    </w:p>
    <w:p>
      <w:pPr>
        <w:pStyle w:val="ListBullet"/>
        <w:numPr>
          <w:ilvl w:val="0"/>
          <w:numId w:val="1"/>
        </w:numPr>
        <w:spacing w:before="0" w:after="40"/>
        <w:contextualSpacing/>
        <w:rPr/>
      </w:pPr>
      <w:r>
        <w:rPr>
          <w:b w:val="false"/>
          <w:i w:val="false"/>
          <w:sz w:val="22"/>
        </w:rPr>
        <w:t>Ruleset o protección de main con Pull Request y status checks requeridos.</w:t>
      </w:r>
    </w:p>
    <w:p>
      <w:pPr>
        <w:pStyle w:val="ListBullet"/>
        <w:numPr>
          <w:ilvl w:val="0"/>
          <w:numId w:val="1"/>
        </w:numPr>
        <w:spacing w:before="0" w:after="40"/>
        <w:contextualSpacing/>
        <w:rPr/>
      </w:pPr>
      <w:r>
        <w:rPr>
          <w:b w:val="false"/>
          <w:i w:val="false"/>
          <w:sz w:val="22"/>
        </w:rPr>
        <w:t>GitHub Environments para staging y separación de secrets por ambiente.</w:t>
      </w:r>
    </w:p>
    <w:p>
      <w:pPr>
        <w:pStyle w:val="ListBullet"/>
        <w:numPr>
          <w:ilvl w:val="0"/>
          <w:numId w:val="1"/>
        </w:numPr>
        <w:spacing w:before="0" w:after="40"/>
        <w:contextualSpacing/>
        <w:rPr/>
      </w:pPr>
      <w:r>
        <w:rPr>
          <w:b w:val="false"/>
          <w:i w:val="false"/>
          <w:sz w:val="22"/>
        </w:rPr>
        <w:t>GitHub Container Registry (GHCR) como repositorio de imágenes.</w:t>
      </w:r>
    </w:p>
    <w:p>
      <w:pPr>
        <w:pStyle w:val="ListBullet"/>
        <w:numPr>
          <w:ilvl w:val="0"/>
          <w:numId w:val="1"/>
        </w:numPr>
        <w:spacing w:before="0" w:after="40"/>
        <w:contextualSpacing/>
        <w:rPr/>
      </w:pPr>
      <w:r>
        <w:rPr>
          <w:b w:val="false"/>
          <w:i w:val="false"/>
          <w:sz w:val="22"/>
        </w:rPr>
        <w:t>Dependabot para dependencias NuGet y GitHub Actions.</w:t>
      </w:r>
    </w:p>
    <w:p>
      <w:pPr>
        <w:pStyle w:val="ListBullet"/>
        <w:numPr>
          <w:ilvl w:val="0"/>
          <w:numId w:val="1"/>
        </w:numPr>
        <w:spacing w:before="0" w:after="40"/>
        <w:contextualSpacing/>
        <w:rPr/>
      </w:pPr>
      <w:r>
        <w:rPr>
          <w:b w:val="false"/>
          <w:i w:val="false"/>
          <w:sz w:val="22"/>
        </w:rPr>
        <w:t>Artifacts de tests cuando faciliten diagnóstico.</w:t>
      </w:r>
    </w:p>
    <w:p>
      <w:pPr>
        <w:pStyle w:val="Heading2"/>
        <w:rPr/>
      </w:pPr>
      <w:r>
        <w:rPr/>
        <w:t>12.2 Estrategia de deployment</w:t>
      </w:r>
    </w:p>
    <w:p>
      <w:pPr>
        <w:pStyle w:val="Normal"/>
        <w:spacing w:before="0" w:after="100"/>
        <w:rPr/>
      </w:pPr>
      <w:r>
        <w:rPr>
          <w:b w:val="false"/>
          <w:i w:val="false"/>
          <w:sz w:val="22"/>
        </w:rPr>
        <w:t>El target de CD será una VM Linux de staging con Docker y Docker Compose. GitHub Actions podrá desplegar mediante SSH o mediante un runner controlado. La implementación exacta se elegirá al crear el ambiente; no se requiere cloud específico para completar el aprendizaje.</w:t>
      </w:r>
    </w:p>
    <w:p>
      <w:pPr>
        <w:pStyle w:val="Heading1"/>
        <w:rPr/>
      </w:pPr>
      <w:r>
        <w:rPr/>
        <w:t>13. Testing strategy</w:t>
      </w:r>
    </w:p>
    <w:tbl>
      <w:tblPr>
        <w:tblW w:w="10166"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5083"/>
        <w:gridCol w:w="5083"/>
      </w:tblGrid>
      <w:tr>
        <w:trPr>
          <w:tblHeader w:val="true"/>
        </w:trPr>
        <w:tc>
          <w:tcPr>
            <w:tcW w:w="5083" w:type="dxa"/>
            <w:tcBorders/>
            <w:shd w:fill="17365D" w:val="clear"/>
            <w:vAlign w:val="center"/>
          </w:tcPr>
          <w:p>
            <w:pPr>
              <w:pStyle w:val="Normal"/>
              <w:spacing w:before="0" w:after="0"/>
              <w:rPr/>
            </w:pPr>
            <w:r>
              <w:rPr>
                <w:b/>
                <w:i w:val="false"/>
                <w:color w:val="FFFFFF"/>
                <w:sz w:val="18"/>
              </w:rPr>
              <w:t>Nivel</w:t>
            </w:r>
          </w:p>
        </w:tc>
        <w:tc>
          <w:tcPr>
            <w:tcW w:w="5083" w:type="dxa"/>
            <w:tcBorders/>
            <w:shd w:fill="17365D" w:val="clear"/>
            <w:vAlign w:val="center"/>
          </w:tcPr>
          <w:p>
            <w:pPr>
              <w:pStyle w:val="Normal"/>
              <w:spacing w:before="0" w:after="0"/>
              <w:rPr/>
            </w:pPr>
            <w:r>
              <w:rPr>
                <w:b/>
                <w:i w:val="false"/>
                <w:color w:val="FFFFFF"/>
                <w:sz w:val="18"/>
              </w:rPr>
              <w:t>Cobertura</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Unit</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Dominio: estados, prioridad, handoff, ownership y autorización de reglas puras.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Application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Command/query handlers y validaciones con dependencias simuladas cuando aporte valor.</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Integration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WebApplicationFactory + SQL Server/RabbitMQ mediante Testcontainers cuando corresponda.</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Authorization</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Casos 401/403, acceso por equipo, ticket sensible y service identity.</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Messaging</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Outbox, publicación y consumidores idempotentes.</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AI</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Validación de salida estructurada, tool permissions y fallback; evitar tests frágiles basados en texto exacto del LLM.</w:t>
            </w:r>
          </w:p>
        </w:tc>
      </w:tr>
      <w:tr>
        <w:trPr>
          <w:cantSplit/>
        </w:trPr>
        <w:tc>
          <w:tcPr>
            <w:tcW w:w="5083" w:type="dxa"/>
            <w:tcBorders/>
            <w:tcMar>
              <w:top w:w="80" w:type="dxa"/>
              <w:start w:w="75" w:type="dxa"/>
              <w:bottom w:w="80" w:type="dxa"/>
              <w:end w:w="75" w:type="dxa"/>
            </w:tcMar>
            <w:vAlign w:val="center"/>
          </w:tcPr>
          <w:p>
            <w:pPr>
              <w:pStyle w:val="Normal"/>
              <w:spacing w:before="0" w:after="0"/>
              <w:rPr/>
            </w:pPr>
            <w:r>
              <w:rPr>
                <w:b w:val="false"/>
                <w:i w:val="false"/>
                <w:sz w:val="18"/>
              </w:rPr>
              <w:t>Smoke staging</w:t>
            </w:r>
          </w:p>
        </w:tc>
        <w:tc>
          <w:tcPr>
            <w:tcW w:w="5083" w:type="dxa"/>
            <w:tcBorders/>
            <w:tcMar>
              <w:top w:w="80" w:type="dxa"/>
              <w:start w:w="75" w:type="dxa"/>
              <w:bottom w:w="80" w:type="dxa"/>
              <w:end w:w="75" w:type="dxa"/>
            </w:tcMar>
            <w:vAlign w:val="center"/>
          </w:tcPr>
          <w:p>
            <w:pPr>
              <w:pStyle w:val="Normal"/>
              <w:spacing w:before="0" w:after="0"/>
              <w:rPr/>
            </w:pPr>
            <w:r>
              <w:rPr>
                <w:b w:val="false"/>
                <w:i w:val="false"/>
                <w:sz w:val="18"/>
              </w:rPr>
              <w:t>Después de deployment, /health y un flujo API mínimo automatizado.</w:t>
            </w:r>
          </w:p>
        </w:tc>
      </w:tr>
    </w:tbl>
    <w:p>
      <w:pPr>
        <w:pStyle w:val="Normal"/>
        <w:rPr/>
      </w:pPr>
      <w:r>
        <w:rPr/>
      </w:r>
    </w:p>
    <w:p>
      <w:pPr>
        <w:pStyle w:val="Heading1"/>
        <w:rPr/>
      </w:pPr>
      <w:r>
        <w:rPr/>
        <w:t>14. Roadmap de desarrollo</w:t>
      </w:r>
    </w:p>
    <w:tbl>
      <w:tblPr>
        <w:tblW w:w="10167"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3389"/>
        <w:gridCol w:w="3389"/>
        <w:gridCol w:w="3389"/>
      </w:tblGrid>
      <w:tr>
        <w:trPr>
          <w:tblHeader w:val="true"/>
        </w:trPr>
        <w:tc>
          <w:tcPr>
            <w:tcW w:w="3389" w:type="dxa"/>
            <w:tcBorders/>
            <w:shd w:fill="17365D" w:val="clear"/>
            <w:vAlign w:val="center"/>
          </w:tcPr>
          <w:p>
            <w:pPr>
              <w:pStyle w:val="Normal"/>
              <w:spacing w:before="0" w:after="0"/>
              <w:rPr/>
            </w:pPr>
            <w:r>
              <w:rPr>
                <w:b/>
                <w:i w:val="false"/>
                <w:color w:val="FFFFFF"/>
                <w:sz w:val="17"/>
              </w:rPr>
              <w:t>Iteración</w:t>
            </w:r>
          </w:p>
        </w:tc>
        <w:tc>
          <w:tcPr>
            <w:tcW w:w="3389" w:type="dxa"/>
            <w:tcBorders/>
            <w:shd w:fill="17365D" w:val="clear"/>
            <w:vAlign w:val="center"/>
          </w:tcPr>
          <w:p>
            <w:pPr>
              <w:pStyle w:val="Normal"/>
              <w:spacing w:before="0" w:after="0"/>
              <w:rPr/>
            </w:pPr>
            <w:r>
              <w:rPr>
                <w:b/>
                <w:i w:val="false"/>
                <w:color w:val="FFFFFF"/>
                <w:sz w:val="17"/>
              </w:rPr>
              <w:t>Construcción</w:t>
            </w:r>
          </w:p>
        </w:tc>
        <w:tc>
          <w:tcPr>
            <w:tcW w:w="3389" w:type="dxa"/>
            <w:tcBorders/>
            <w:shd w:fill="17365D" w:val="clear"/>
            <w:vAlign w:val="center"/>
          </w:tcPr>
          <w:p>
            <w:pPr>
              <w:pStyle w:val="Normal"/>
              <w:spacing w:before="0" w:after="0"/>
              <w:rPr/>
            </w:pPr>
            <w:r>
              <w:rPr>
                <w:b/>
                <w:i w:val="false"/>
                <w:color w:val="FFFFFF"/>
                <w:sz w:val="17"/>
              </w:rPr>
              <w:t>Salida verificable</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1 — Foundation</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Solution, monorepo, proyectos, Dockerfiles, compose, SQL Server/RabbitMQ.</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Repo reproducible; docker compose levanta infraestructura.</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2 — CI Foundation</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GitHub Actions CI, ruleset de main, build y unit tests.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PR bloqueada si build/tests fallan.</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3 — Identity</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ASP.NET Identity, JWT, roles, policies y pruebas 401/403.</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Login y autorización básica funcionando.</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4 — Ticket Domain</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EF Core, Ticket aggregate, lifecycle, queues, history, concurrency.</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CRUD de dominio y transiciones válidas.</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5 — Workflow L1/L2</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Consulta, handoff, accept/return/redirect, ownership transfer.</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Escalación end-to-end sin AI.</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6 — Microservices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RabbitMQ, integration events, Outbox, Reporting read model.</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Métricas se actualizan por eventos.</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7 — AI Agent</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Triage tools, structured output, HITL, audit.</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Recomendación AI usable y confirmable.</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8 — Agent Workflow</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Escalation validation, similar cases, M2M auth y fallback.</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AI participa en handoff sin tomar control autónomo.</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9 — CD</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GHCR, staging environment, migrations, deployment y health checks.</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Merge a main despliega staging automáticamente.</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7"/>
              </w:rPr>
              <w:t>10 — Hardening</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7"/>
              </w:rPr>
              <w:t>Integration tests, idempotencia, logging, secrets, vulnerability checks y documentación.</w:t>
            </w:r>
          </w:p>
        </w:tc>
        <w:tc>
          <w:tcPr>
            <w:tcW w:w="3389" w:type="dxa"/>
            <w:tcBorders/>
            <w:tcMar>
              <w:top w:w="80" w:type="dxa"/>
              <w:start w:w="75" w:type="dxa"/>
              <w:bottom w:w="80" w:type="dxa"/>
              <w:end w:w="75" w:type="dxa"/>
            </w:tcMar>
            <w:vAlign w:val="center"/>
          </w:tcPr>
          <w:p>
            <w:pPr>
              <w:pStyle w:val="Normal"/>
              <w:spacing w:before="0" w:after="0"/>
              <w:rPr>
                <w:rFonts w:ascii="Cambria" w:hAnsi="Cambria"/>
                <w:b w:val="false"/>
                <w:i w:val="false"/>
                <w:sz w:val="17"/>
              </w:rPr>
            </w:pPr>
            <w:r>
              <w:rPr>
                <w:b w:val="false"/>
                <w:i w:val="false"/>
                <w:sz w:val="17"/>
              </w:rPr>
              <w:t>MVP listo para demo reproducible."data": {</w:t>
            </w:r>
          </w:p>
          <w:p>
            <w:pPr>
              <w:pStyle w:val="Normal"/>
              <w:spacing w:before="0" w:after="0"/>
              <w:rPr>
                <w:rFonts w:ascii="Cambria" w:hAnsi="Cambria"/>
                <w:b w:val="false"/>
                <w:i w:val="false"/>
                <w:sz w:val="17"/>
              </w:rPr>
            </w:pPr>
            <w:r>
              <w:rPr>
                <w:b w:val="false"/>
                <w:i w:val="false"/>
                <w:sz w:val="17"/>
              </w:rPr>
              <w:t xml:space="preserve">    </w:t>
            </w:r>
            <w:r>
              <w:rPr>
                <w:b w:val="false"/>
                <w:i w:val="false"/>
                <w:sz w:val="17"/>
              </w:rPr>
              <w:t>"rateLimit": {</w:t>
            </w:r>
          </w:p>
          <w:p>
            <w:pPr>
              <w:pStyle w:val="Normal"/>
              <w:spacing w:before="0" w:after="0"/>
              <w:rPr>
                <w:rFonts w:ascii="Cambria" w:hAnsi="Cambria"/>
                <w:b w:val="false"/>
                <w:i w:val="false"/>
                <w:sz w:val="17"/>
              </w:rPr>
            </w:pPr>
            <w:r>
              <w:rPr>
                <w:b w:val="false"/>
                <w:i w:val="false"/>
                <w:sz w:val="17"/>
              </w:rPr>
              <w:t xml:space="preserve">      </w:t>
            </w:r>
            <w:r>
              <w:rPr>
                <w:b w:val="false"/>
                <w:i w:val="false"/>
                <w:sz w:val="17"/>
              </w:rPr>
              <w:t>"limit": 5000,</w:t>
            </w:r>
          </w:p>
          <w:p>
            <w:pPr>
              <w:pStyle w:val="Normal"/>
              <w:spacing w:before="0" w:after="0"/>
              <w:rPr>
                <w:rFonts w:ascii="Cambria" w:hAnsi="Cambria"/>
                <w:b w:val="false"/>
                <w:i w:val="false"/>
                <w:sz w:val="17"/>
              </w:rPr>
            </w:pPr>
            <w:r>
              <w:rPr>
                <w:b w:val="false"/>
                <w:i w:val="false"/>
                <w:sz w:val="17"/>
              </w:rPr>
              <w:t xml:space="preserve">      </w:t>
            </w:r>
            <w:r>
              <w:rPr>
                <w:b w:val="false"/>
                <w:i w:val="false"/>
                <w:sz w:val="17"/>
              </w:rPr>
              <w:t>"used": 5,</w:t>
            </w:r>
          </w:p>
          <w:p>
            <w:pPr>
              <w:pStyle w:val="Normal"/>
              <w:spacing w:before="0" w:after="0"/>
              <w:rPr>
                <w:rFonts w:ascii="Cambria" w:hAnsi="Cambria"/>
                <w:b w:val="false"/>
                <w:i w:val="false"/>
                <w:sz w:val="17"/>
              </w:rPr>
            </w:pPr>
            <w:r>
              <w:rPr>
                <w:b w:val="false"/>
                <w:i w:val="false"/>
                <w:sz w:val="17"/>
              </w:rPr>
              <w:t xml:space="preserve">      </w:t>
            </w:r>
            <w:r>
              <w:rPr>
                <w:b w:val="false"/>
                <w:i w:val="false"/>
                <w:sz w:val="17"/>
              </w:rPr>
              <w:t>"remaining": 4995,</w:t>
            </w:r>
          </w:p>
          <w:p>
            <w:pPr>
              <w:pStyle w:val="Normal"/>
              <w:spacing w:before="0" w:after="0"/>
              <w:rPr>
                <w:rFonts w:ascii="Cambria" w:hAnsi="Cambria"/>
                <w:b w:val="false"/>
                <w:i w:val="false"/>
                <w:sz w:val="17"/>
              </w:rPr>
            </w:pPr>
            <w:r>
              <w:rPr>
                <w:b w:val="false"/>
                <w:i w:val="false"/>
                <w:sz w:val="17"/>
              </w:rPr>
              <w:t xml:space="preserve">      </w:t>
            </w:r>
            <w:r>
              <w:rPr>
                <w:b w:val="false"/>
                <w:i w:val="false"/>
                <w:sz w:val="17"/>
              </w:rPr>
              <w:t>"resetAt": "2026-09-03T16:51:28Z"</w:t>
            </w:r>
          </w:p>
        </w:tc>
      </w:tr>
    </w:tbl>
    <w:p>
      <w:pPr>
        <w:pStyle w:val="Normal"/>
        <w:rPr/>
      </w:pPr>
      <w:r>
        <w:rPr/>
      </w:r>
    </w:p>
    <w:p>
      <w:pPr>
        <w:pStyle w:val="Heading1"/>
        <w:rPr/>
      </w:pPr>
      <w:r>
        <w:rPr/>
        <w:t>15. Definition of Done del MVP</w:t>
      </w:r>
    </w:p>
    <w:p>
      <w:pPr>
        <w:pStyle w:val="ListBullet"/>
        <w:numPr>
          <w:ilvl w:val="0"/>
          <w:numId w:val="1"/>
        </w:numPr>
        <w:spacing w:before="0" w:after="40"/>
        <w:contextualSpacing/>
        <w:rPr/>
      </w:pPr>
      <w:r>
        <w:rPr>
          <w:b w:val="false"/>
          <w:i w:val="false"/>
          <w:sz w:val="22"/>
        </w:rPr>
        <w:t>Un usuario se autentica y obtiene un token válido.</w:t>
      </w:r>
    </w:p>
    <w:p>
      <w:pPr>
        <w:pStyle w:val="ListBullet"/>
        <w:numPr>
          <w:ilvl w:val="0"/>
          <w:numId w:val="1"/>
        </w:numPr>
        <w:spacing w:before="0" w:after="40"/>
        <w:contextualSpacing/>
        <w:rPr/>
      </w:pPr>
      <w:r>
        <w:rPr>
          <w:b w:val="false"/>
          <w:i w:val="false"/>
          <w:sz w:val="22"/>
        </w:rPr>
        <w:t>Un Requester o ServiceDeskAgent crea un ticket con captura mínima.</w:t>
      </w:r>
    </w:p>
    <w:p>
      <w:pPr>
        <w:pStyle w:val="ListBullet"/>
        <w:numPr>
          <w:ilvl w:val="0"/>
          <w:numId w:val="1"/>
        </w:numPr>
        <w:spacing w:before="0" w:after="40"/>
        <w:contextualSpacing/>
        <w:rPr/>
      </w:pPr>
      <w:r>
        <w:rPr>
          <w:b w:val="false"/>
          <w:i w:val="false"/>
          <w:sz w:val="22"/>
        </w:rPr>
        <w:t>El Triage Agent propone clasificación, prioridad y equipo; un humano confirma.</w:t>
      </w:r>
    </w:p>
    <w:p>
      <w:pPr>
        <w:pStyle w:val="ListBullet"/>
        <w:numPr>
          <w:ilvl w:val="0"/>
          <w:numId w:val="1"/>
        </w:numPr>
        <w:spacing w:before="0" w:after="40"/>
        <w:contextualSpacing/>
        <w:rPr/>
      </w:pPr>
      <w:r>
        <w:rPr>
          <w:b w:val="false"/>
          <w:i w:val="false"/>
          <w:sz w:val="22"/>
        </w:rPr>
        <w:t>Service Desk asigna el caso y solicita un handoff a L2.</w:t>
      </w:r>
    </w:p>
    <w:p>
      <w:pPr>
        <w:pStyle w:val="ListBullet"/>
        <w:numPr>
          <w:ilvl w:val="0"/>
          <w:numId w:val="1"/>
        </w:numPr>
        <w:spacing w:before="0" w:after="40"/>
        <w:contextualSpacing/>
        <w:rPr/>
      </w:pPr>
      <w:r>
        <w:rPr>
          <w:b w:val="false"/>
          <w:i w:val="false"/>
          <w:sz w:val="22"/>
        </w:rPr>
        <w:t>El Escalation Validation Agent identifica información faltante antes del handoff.</w:t>
      </w:r>
    </w:p>
    <w:p>
      <w:pPr>
        <w:pStyle w:val="ListBullet"/>
        <w:numPr>
          <w:ilvl w:val="0"/>
          <w:numId w:val="1"/>
        </w:numPr>
        <w:spacing w:before="0" w:after="40"/>
        <w:contextualSpacing/>
        <w:rPr/>
      </w:pPr>
      <w:r>
        <w:rPr>
          <w:b w:val="false"/>
          <w:i w:val="false"/>
          <w:sz w:val="22"/>
        </w:rPr>
        <w:t>El equipo L2 acepta, devuelve o redirige; ownership cambia únicamente cuando acepta.</w:t>
      </w:r>
    </w:p>
    <w:p>
      <w:pPr>
        <w:pStyle w:val="ListBullet"/>
        <w:numPr>
          <w:ilvl w:val="0"/>
          <w:numId w:val="1"/>
        </w:numPr>
        <w:spacing w:before="0" w:after="40"/>
        <w:contextualSpacing/>
        <w:rPr/>
      </w:pPr>
      <w:r>
        <w:rPr>
          <w:b w:val="false"/>
          <w:i w:val="false"/>
          <w:sz w:val="22"/>
        </w:rPr>
        <w:t>El caso conserva historial completo de estados, asignaciones y handoffs.</w:t>
      </w:r>
    </w:p>
    <w:p>
      <w:pPr>
        <w:pStyle w:val="ListBullet"/>
        <w:numPr>
          <w:ilvl w:val="0"/>
          <w:numId w:val="1"/>
        </w:numPr>
        <w:spacing w:before="0" w:after="40"/>
        <w:contextualSpacing/>
        <w:rPr/>
      </w:pPr>
      <w:r>
        <w:rPr>
          <w:b w:val="false"/>
          <w:i w:val="false"/>
          <w:sz w:val="22"/>
        </w:rPr>
        <w:t>Un usuario sin permiso recibe 403 y un usuario no autenticado recibe 401.</w:t>
      </w:r>
    </w:p>
    <w:p>
      <w:pPr>
        <w:pStyle w:val="ListBullet"/>
        <w:numPr>
          <w:ilvl w:val="0"/>
          <w:numId w:val="1"/>
        </w:numPr>
        <w:spacing w:before="0" w:after="40"/>
        <w:contextualSpacing/>
        <w:rPr/>
      </w:pPr>
      <w:r>
        <w:rPr>
          <w:b w:val="false"/>
          <w:i w:val="false"/>
          <w:sz w:val="22"/>
        </w:rPr>
        <w:t>El AI Agent Service opera con identidad de servicio y permisos mínimos.</w:t>
      </w:r>
    </w:p>
    <w:p>
      <w:pPr>
        <w:pStyle w:val="ListBullet"/>
        <w:numPr>
          <w:ilvl w:val="0"/>
          <w:numId w:val="1"/>
        </w:numPr>
        <w:spacing w:before="0" w:after="40"/>
        <w:contextualSpacing/>
        <w:rPr/>
      </w:pPr>
      <w:r>
        <w:rPr>
          <w:b w:val="false"/>
          <w:i w:val="false"/>
          <w:sz w:val="22"/>
        </w:rPr>
        <w:t>Reporting muestra volumen, backlog y tickets por equipo a partir de eventos.</w:t>
      </w:r>
    </w:p>
    <w:p>
      <w:pPr>
        <w:pStyle w:val="ListBullet"/>
        <w:numPr>
          <w:ilvl w:val="0"/>
          <w:numId w:val="1"/>
        </w:numPr>
        <w:spacing w:before="0" w:after="40"/>
        <w:contextualSpacing/>
        <w:rPr/>
      </w:pPr>
      <w:r>
        <w:rPr>
          <w:b w:val="false"/>
          <w:i w:val="false"/>
          <w:sz w:val="22"/>
        </w:rPr>
        <w:t>Todo el stack se levanta con Docker Compose.</w:t>
      </w:r>
    </w:p>
    <w:p>
      <w:pPr>
        <w:pStyle w:val="ListBullet"/>
        <w:numPr>
          <w:ilvl w:val="0"/>
          <w:numId w:val="1"/>
        </w:numPr>
        <w:spacing w:before="0" w:after="40"/>
        <w:contextualSpacing/>
        <w:rPr/>
      </w:pPr>
      <w:r>
        <w:rPr>
          <w:b w:val="false"/>
          <w:i w:val="false"/>
          <w:sz w:val="22"/>
        </w:rPr>
        <w:t>Un Pull Request ejecuta CI automáticamente.</w:t>
      </w:r>
    </w:p>
    <w:p>
      <w:pPr>
        <w:pStyle w:val="ListBullet"/>
        <w:numPr>
          <w:ilvl w:val="0"/>
          <w:numId w:val="1"/>
        </w:numPr>
        <w:spacing w:before="0" w:after="40"/>
        <w:contextualSpacing/>
        <w:rPr/>
      </w:pPr>
      <w:r>
        <w:rPr>
          <w:b w:val="false"/>
          <w:i w:val="false"/>
          <w:sz w:val="22"/>
        </w:rPr>
        <w:t>Un merge a main construye/push images y despliega staging con health checks.</w:t>
      </w:r>
    </w:p>
    <w:p>
      <w:pPr>
        <w:pStyle w:val="ListBullet"/>
        <w:numPr>
          <w:ilvl w:val="0"/>
          <w:numId w:val="1"/>
        </w:numPr>
        <w:spacing w:before="0" w:after="40"/>
        <w:contextualSpacing/>
        <w:rPr/>
      </w:pPr>
      <w:r>
        <w:rPr>
          <w:b w:val="false"/>
          <w:i w:val="false"/>
          <w:sz w:val="22"/>
        </w:rPr>
        <w:t>El flujo core continúa aunque el AI Agent Service esté fuera de línea.</w:t>
      </w:r>
    </w:p>
    <w:p>
      <w:pPr>
        <w:pStyle w:val="Heading1"/>
        <w:rPr/>
      </w:pPr>
      <w:r>
        <w:rPr/>
        <w:t>16. Escenario de demo final</w:t>
      </w:r>
    </w:p>
    <w:tbl>
      <w:tblPr>
        <w:tblW w:w="10167" w:type="dxa"/>
        <w:jc w:val="center"/>
        <w:tblInd w:w="0" w:type="dxa"/>
        <w:tblLayout w:type="fixed"/>
        <w:tblCellMar>
          <w:top w:w="90" w:type="dxa"/>
          <w:start w:w="80" w:type="dxa"/>
          <w:bottom w:w="90" w:type="dxa"/>
          <w:end w:w="80" w:type="dxa"/>
        </w:tblCellMar>
        <w:tblLook w:noHBand="0" w:noVBand="1" w:firstColumn="1" w:lastRow="0" w:lastColumn="0" w:firstRow="1" w:val="04a0"/>
      </w:tblPr>
      <w:tblGrid>
        <w:gridCol w:w="3389"/>
        <w:gridCol w:w="3389"/>
        <w:gridCol w:w="3389"/>
      </w:tblGrid>
      <w:tr>
        <w:trPr>
          <w:tblHeader w:val="true"/>
        </w:trPr>
        <w:tc>
          <w:tcPr>
            <w:tcW w:w="3389" w:type="dxa"/>
            <w:tcBorders/>
            <w:shd w:fill="17365D" w:val="clear"/>
            <w:vAlign w:val="center"/>
          </w:tcPr>
          <w:p>
            <w:pPr>
              <w:pStyle w:val="Normal"/>
              <w:spacing w:before="0" w:after="0"/>
              <w:rPr/>
            </w:pPr>
            <w:r>
              <w:rPr>
                <w:b/>
                <w:i w:val="false"/>
                <w:color w:val="FFFFFF"/>
                <w:sz w:val="18"/>
              </w:rPr>
              <w:t>Hora</w:t>
            </w:r>
          </w:p>
        </w:tc>
        <w:tc>
          <w:tcPr>
            <w:tcW w:w="3389" w:type="dxa"/>
            <w:tcBorders/>
            <w:shd w:fill="17365D" w:val="clear"/>
            <w:vAlign w:val="center"/>
          </w:tcPr>
          <w:p>
            <w:pPr>
              <w:pStyle w:val="Normal"/>
              <w:spacing w:before="0" w:after="0"/>
              <w:rPr/>
            </w:pPr>
            <w:r>
              <w:rPr>
                <w:b/>
                <w:i w:val="false"/>
                <w:color w:val="FFFFFF"/>
                <w:sz w:val="18"/>
              </w:rPr>
              <w:t>Actor</w:t>
            </w:r>
          </w:p>
        </w:tc>
        <w:tc>
          <w:tcPr>
            <w:tcW w:w="3389" w:type="dxa"/>
            <w:tcBorders/>
            <w:shd w:fill="17365D" w:val="clear"/>
            <w:vAlign w:val="center"/>
          </w:tcPr>
          <w:p>
            <w:pPr>
              <w:pStyle w:val="Normal"/>
              <w:spacing w:before="0" w:after="0"/>
              <w:rPr/>
            </w:pPr>
            <w:r>
              <w:rPr>
                <w:b/>
                <w:i w:val="false"/>
                <w:color w:val="FFFFFF"/>
                <w:sz w:val="18"/>
              </w:rPr>
              <w:t>Evento</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09:00</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Requester</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Reporta “No puedo conectarme a la VPN desde casa”.</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09:01</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Ticket Service</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Crea SD-000123 y publica TicketCreated mediante Outbox.</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09:02</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Triage Agent</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Propone Incident / Network / VPN / P3 y solicita mensaje exacto de error.</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09:05</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Service Desk</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Acepta la recomendación y completa la información.</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09:20</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Service Desk</w:t>
            </w:r>
          </w:p>
        </w:tc>
        <w:tc>
          <w:tcPr>
            <w:tcW w:w="3389" w:type="dxa"/>
            <w:tcBorders/>
            <w:tcMar>
              <w:top w:w="80" w:type="dxa"/>
              <w:start w:w="75" w:type="dxa"/>
              <w:bottom w:w="80" w:type="dxa"/>
              <w:end w:w="75" w:type="dxa"/>
            </w:tcMar>
            <w:vAlign w:val="center"/>
          </w:tcPr>
          <w:p>
            <w:pPr>
              <w:pStyle w:val="Normal"/>
              <w:spacing w:before="0" w:after="0"/>
              <w:rPr>
                <w:rFonts w:ascii="Cambria" w:hAnsi="Cambria"/>
                <w:b w:val="false"/>
                <w:i w:val="false"/>
                <w:sz w:val="18"/>
              </w:rPr>
            </w:pPr>
            <w:r>
              <w:rPr>
                <w:b w:val="false"/>
                <w:i w:val="false"/>
                <w:sz w:val="18"/>
              </w:rPr>
              <w:t>Solicita h"data": {</w:t>
            </w:r>
          </w:p>
          <w:p>
            <w:pPr>
              <w:pStyle w:val="Normal"/>
              <w:spacing w:before="0" w:after="0"/>
              <w:rPr>
                <w:rFonts w:ascii="Cambria" w:hAnsi="Cambria"/>
                <w:b w:val="false"/>
                <w:i w:val="false"/>
                <w:sz w:val="18"/>
              </w:rPr>
            </w:pPr>
            <w:r>
              <w:rPr>
                <w:b w:val="false"/>
                <w:i w:val="false"/>
                <w:sz w:val="18"/>
              </w:rPr>
              <w:t xml:space="preserve">    </w:t>
            </w:r>
            <w:r>
              <w:rPr>
                <w:b w:val="false"/>
                <w:i w:val="false"/>
                <w:sz w:val="18"/>
              </w:rPr>
              <w:t>"rateLimit": {</w:t>
            </w:r>
          </w:p>
          <w:p>
            <w:pPr>
              <w:pStyle w:val="Normal"/>
              <w:spacing w:before="0" w:after="0"/>
              <w:rPr>
                <w:rFonts w:ascii="Cambria" w:hAnsi="Cambria"/>
                <w:b w:val="false"/>
                <w:i w:val="false"/>
                <w:sz w:val="18"/>
              </w:rPr>
            </w:pPr>
            <w:r>
              <w:rPr>
                <w:b w:val="false"/>
                <w:i w:val="false"/>
                <w:sz w:val="18"/>
              </w:rPr>
              <w:t xml:space="preserve">      </w:t>
            </w:r>
            <w:r>
              <w:rPr>
                <w:b w:val="false"/>
                <w:i w:val="false"/>
                <w:sz w:val="18"/>
              </w:rPr>
              <w:t>"limit": 5000,</w:t>
            </w:r>
          </w:p>
          <w:p>
            <w:pPr>
              <w:pStyle w:val="Normal"/>
              <w:spacing w:before="0" w:after="0"/>
              <w:rPr>
                <w:rFonts w:ascii="Cambria" w:hAnsi="Cambria"/>
                <w:b w:val="false"/>
                <w:i w:val="false"/>
                <w:sz w:val="18"/>
              </w:rPr>
            </w:pPr>
            <w:r>
              <w:rPr>
                <w:b w:val="false"/>
                <w:i w:val="false"/>
                <w:sz w:val="18"/>
              </w:rPr>
              <w:t xml:space="preserve">      </w:t>
            </w:r>
            <w:r>
              <w:rPr>
                <w:b w:val="false"/>
                <w:i w:val="false"/>
                <w:sz w:val="18"/>
              </w:rPr>
              <w:t>"used": 5,</w:t>
            </w:r>
          </w:p>
          <w:p>
            <w:pPr>
              <w:pStyle w:val="Normal"/>
              <w:spacing w:before="0" w:after="0"/>
              <w:rPr>
                <w:rFonts w:ascii="Cambria" w:hAnsi="Cambria"/>
                <w:b w:val="false"/>
                <w:i w:val="false"/>
                <w:sz w:val="18"/>
              </w:rPr>
            </w:pPr>
            <w:r>
              <w:rPr>
                <w:b w:val="false"/>
                <w:i w:val="false"/>
                <w:sz w:val="18"/>
              </w:rPr>
              <w:t xml:space="preserve">      </w:t>
            </w:r>
            <w:r>
              <w:rPr>
                <w:b w:val="false"/>
                <w:i w:val="false"/>
                <w:sz w:val="18"/>
              </w:rPr>
              <w:t>"remaining": 4995,</w:t>
            </w:r>
          </w:p>
          <w:p>
            <w:pPr>
              <w:pStyle w:val="Normal"/>
              <w:spacing w:before="0" w:after="0"/>
              <w:rPr>
                <w:rFonts w:ascii="Cambria" w:hAnsi="Cambria"/>
                <w:b w:val="false"/>
                <w:i w:val="false"/>
                <w:sz w:val="18"/>
              </w:rPr>
            </w:pPr>
            <w:r>
              <w:rPr>
                <w:b w:val="false"/>
                <w:i w:val="false"/>
                <w:sz w:val="18"/>
              </w:rPr>
              <w:t xml:space="preserve">      </w:t>
            </w:r>
            <w:r>
              <w:rPr>
                <w:b w:val="false"/>
                <w:i w:val="false"/>
                <w:sz w:val="18"/>
              </w:rPr>
              <w:t>"resetAt": "2026-09-03T16:51:28Z"andoff a Network.</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09:21</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Escalation Agent</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Valida checklist y confirma que el caso está listo.</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09:22</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Network</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Acepta el handoff; ownership cambia a Network.</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10:00</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Network</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Resuelve el incidente.</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10:05</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Service Desk</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Marca Resuelto/Cerrado según flujo MVP.</w:t>
            </w:r>
          </w:p>
        </w:tc>
      </w:tr>
      <w:tr>
        <w:trPr>
          <w:cantSplit/>
        </w:trPr>
        <w:tc>
          <w:tcPr>
            <w:tcW w:w="3389" w:type="dxa"/>
            <w:tcBorders/>
            <w:tcMar>
              <w:top w:w="80" w:type="dxa"/>
              <w:start w:w="75" w:type="dxa"/>
              <w:bottom w:w="80" w:type="dxa"/>
              <w:end w:w="75" w:type="dxa"/>
            </w:tcMar>
            <w:vAlign w:val="center"/>
          </w:tcPr>
          <w:p>
            <w:pPr>
              <w:pStyle w:val="Normal"/>
              <w:spacing w:before="0" w:after="0"/>
              <w:rPr/>
            </w:pPr>
            <w:r>
              <w:rPr>
                <w:b w:val="false"/>
                <w:i w:val="false"/>
                <w:sz w:val="18"/>
              </w:rPr>
              <w:t>10:06</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Reporting</w:t>
            </w:r>
          </w:p>
        </w:tc>
        <w:tc>
          <w:tcPr>
            <w:tcW w:w="3389" w:type="dxa"/>
            <w:tcBorders/>
            <w:tcMar>
              <w:top w:w="80" w:type="dxa"/>
              <w:start w:w="75" w:type="dxa"/>
              <w:bottom w:w="80" w:type="dxa"/>
              <w:end w:w="75" w:type="dxa"/>
            </w:tcMar>
            <w:vAlign w:val="center"/>
          </w:tcPr>
          <w:p>
            <w:pPr>
              <w:pStyle w:val="Normal"/>
              <w:spacing w:before="0" w:after="0"/>
              <w:rPr/>
            </w:pPr>
            <w:r>
              <w:rPr>
                <w:b w:val="false"/>
                <w:i w:val="false"/>
                <w:sz w:val="18"/>
              </w:rPr>
              <w:t>Muestra el caso en métricas por equipo y escalación.</w:t>
            </w:r>
          </w:p>
        </w:tc>
      </w:tr>
    </w:tbl>
    <w:p>
      <w:pPr>
        <w:pStyle w:val="Normal"/>
        <w:rPr/>
      </w:pPr>
      <w:r>
        <w:rPr/>
      </w:r>
    </w:p>
    <w:p>
      <w:pPr>
        <w:pStyle w:val="Heading1"/>
        <w:rPr/>
      </w:pPr>
      <w:r>
        <w:rPr/>
        <w:t>17. Orden de inicio</w:t>
      </w:r>
    </w:p>
    <w:p>
      <w:pPr>
        <w:pStyle w:val="Normal"/>
        <w:spacing w:before="0" w:after="100"/>
        <w:rPr/>
      </w:pPr>
      <w:r>
        <w:rPr>
          <w:b w:val="false"/>
          <w:i w:val="false"/>
          <w:sz w:val="22"/>
        </w:rPr>
        <w:t>El desarrollo debe comenzar por Foundation, CI e Identity antes de AI. El agente necesita herramientas reales del dominio; construir primero el Ticket Service evita que la parte AI se reduzca a una demo de prompts sin responsabilidades, permisos ni datos reales.</w:t>
      </w:r>
    </w:p>
    <w:p>
      <w:pPr>
        <w:pStyle w:val="Normal"/>
        <w:spacing w:before="0" w:after="100"/>
        <w:rPr>
          <w:rFonts w:ascii="Cambria" w:hAnsi="Cambria"/>
          <w:b w:val="false"/>
          <w:i w:val="false"/>
          <w:sz w:val="22"/>
        </w:rPr>
      </w:pPr>
      <w:r>
        <w:rPr>
          <w:b w:val="false"/>
          <w:i w:val="false"/>
          <w:sz w:val="22"/>
        </w:rPr>
        <w:t>El primer objetivo práctico será obtener un repositorio donde docker compose levante la infraestructura y GitHub Actions compile y ejecute tests. A partir de ahí s"data": {</w:t>
      </w:r>
    </w:p>
    <w:p>
      <w:pPr>
        <w:pStyle w:val="Normal"/>
        <w:spacing w:before="0" w:after="100"/>
        <w:rPr>
          <w:rFonts w:ascii="Cambria" w:hAnsi="Cambria"/>
          <w:b w:val="false"/>
          <w:i w:val="false"/>
          <w:sz w:val="22"/>
        </w:rPr>
      </w:pPr>
      <w:r>
        <w:rPr>
          <w:b w:val="false"/>
          <w:i w:val="false"/>
          <w:sz w:val="22"/>
        </w:rPr>
        <w:t xml:space="preserve">    </w:t>
      </w:r>
      <w:r>
        <w:rPr>
          <w:b w:val="false"/>
          <w:i w:val="false"/>
          <w:sz w:val="22"/>
        </w:rPr>
        <w:t>"rateLimit": {</w:t>
      </w:r>
    </w:p>
    <w:p>
      <w:pPr>
        <w:pStyle w:val="Normal"/>
        <w:spacing w:before="0" w:after="100"/>
        <w:rPr>
          <w:rFonts w:ascii="Cambria" w:hAnsi="Cambria"/>
          <w:b w:val="false"/>
          <w:i w:val="false"/>
          <w:sz w:val="22"/>
        </w:rPr>
      </w:pPr>
      <w:r>
        <w:rPr>
          <w:b w:val="false"/>
          <w:i w:val="false"/>
          <w:sz w:val="22"/>
        </w:rPr>
        <w:t xml:space="preserve">      </w:t>
      </w:r>
      <w:r>
        <w:rPr>
          <w:b w:val="false"/>
          <w:i w:val="false"/>
          <w:sz w:val="22"/>
        </w:rPr>
        <w:t>"limit": 5000,</w:t>
      </w:r>
    </w:p>
    <w:p>
      <w:pPr>
        <w:pStyle w:val="Normal"/>
        <w:spacing w:before="0" w:after="100"/>
        <w:rPr>
          <w:rFonts w:ascii="Cambria" w:hAnsi="Cambria"/>
          <w:b w:val="false"/>
          <w:i w:val="false"/>
          <w:sz w:val="22"/>
        </w:rPr>
      </w:pPr>
      <w:r>
        <w:rPr>
          <w:b w:val="false"/>
          <w:i w:val="false"/>
          <w:sz w:val="22"/>
        </w:rPr>
        <w:t xml:space="preserve">      </w:t>
      </w:r>
      <w:r>
        <w:rPr>
          <w:b w:val="false"/>
          <w:i w:val="false"/>
          <w:sz w:val="22"/>
        </w:rPr>
        <w:t>"used": 5,</w:t>
      </w:r>
    </w:p>
    <w:p>
      <w:pPr>
        <w:pStyle w:val="Normal"/>
        <w:spacing w:before="0" w:after="100"/>
        <w:rPr>
          <w:rFonts w:ascii="Cambria" w:hAnsi="Cambria"/>
          <w:b w:val="false"/>
          <w:i w:val="false"/>
          <w:sz w:val="22"/>
        </w:rPr>
      </w:pPr>
      <w:r>
        <w:rPr>
          <w:b w:val="false"/>
          <w:i w:val="false"/>
          <w:sz w:val="22"/>
        </w:rPr>
        <w:t xml:space="preserve">      </w:t>
      </w:r>
      <w:r>
        <w:rPr>
          <w:b w:val="false"/>
          <w:i w:val="false"/>
          <w:sz w:val="22"/>
        </w:rPr>
        <w:t>"remaining": 4995,</w:t>
      </w:r>
    </w:p>
    <w:p>
      <w:pPr>
        <w:pStyle w:val="Normal"/>
        <w:spacing w:before="0" w:after="100"/>
        <w:rPr>
          <w:rFonts w:ascii="Cambria" w:hAnsi="Cambria"/>
          <w:b w:val="false"/>
          <w:i w:val="false"/>
          <w:sz w:val="22"/>
        </w:rPr>
      </w:pPr>
      <w:r>
        <w:rPr>
          <w:b w:val="false"/>
          <w:i w:val="false"/>
          <w:sz w:val="22"/>
        </w:rPr>
        <w:t xml:space="preserve">      </w:t>
      </w:r>
      <w:r>
        <w:rPr>
          <w:b w:val="false"/>
          <w:i w:val="false"/>
          <w:sz w:val="22"/>
        </w:rPr>
        <w:t>"resetAt": "2026-09-03T16:51:28Z"e implementará seguridad y después el dominio de tickets.</w:t>
      </w:r>
    </w:p>
    <w:p>
      <w:pPr>
        <w:pStyle w:val="Normal"/>
        <w:spacing w:before="0" w:after="100"/>
        <w:jc w:val="center"/>
        <w:rPr/>
      </w:pPr>
      <w:r>
        <w:rPr>
          <w:b w:val="false"/>
          <w:i/>
          <w:color w:val="666666"/>
          <w:sz w:val="20"/>
        </w:rPr>
        <w:t>Fin del documento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37" w:right="1037" w:gutter="0" w:header="504" w:top="1037" w:footer="504"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DejaVu Sans 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b w:val="false"/>
        <w:i w:val="false"/>
        <w:color w:val="666666"/>
        <w:sz w:val="18"/>
      </w:rPr>
      <w:t xml:space="preserve">Página </w:t>
    </w:r>
    <w:r>
      <w:rPr>
        <w:b w:val="false"/>
        <w:i/>
        <w:color w:val="666666"/>
        <w:sz w:val="20"/>
      </w:rPr>
      <w:fldChar w:fldCharType="begin"/>
    </w:r>
    <w:r>
      <w:rPr>
        <w:b w:val="false"/>
        <w:i/>
        <w:color w:val="666666"/>
        <w:sz w:val="20"/>
      </w:rPr>
      <w:instrText xml:space="preserve"> PAGE </w:instrText>
    </w:r>
    <w:r>
      <w:rPr>
        <w:b w:val="false"/>
        <w:i/>
        <w:color w:val="666666"/>
        <w:sz w:val="20"/>
      </w:rPr>
      <w:fldChar w:fldCharType="separate"/>
    </w:r>
    <w:r>
      <w:rPr>
        <w:b w:val="false"/>
        <w:i/>
        <w:color w:val="666666"/>
        <w:sz w:val="20"/>
      </w:rPr>
      <w:t>11</w:t>
    </w:r>
    <w:r>
      <w:rPr>
        <w:b w:val="false"/>
        <w:i/>
        <w:color w:val="666666"/>
        <w:sz w:val="20"/>
      </w:rPr>
      <w:fldChar w:fldCharType="end"/>
    </w:r>
    <w:r>
      <w:rPr>
        <w:b w:val="false"/>
        <w:i w:val="false"/>
        <w:color w:val="666666"/>
        <w:sz w:val="18"/>
      </w:rPr>
      <w:t xml:space="preserve"> de </w:t>
    </w:r>
    <w:r>
      <w:rPr>
        <w:b w:val="false"/>
        <w:i/>
        <w:color w:val="666666"/>
        <w:sz w:val="20"/>
      </w:rPr>
      <w:fldChar w:fldCharType="begin"/>
    </w:r>
    <w:r>
      <w:rPr>
        <w:b w:val="false"/>
        <w:i/>
        <w:color w:val="666666"/>
        <w:sz w:val="20"/>
      </w:rPr>
      <w:instrText xml:space="preserve"> NUMPAGES </w:instrText>
    </w:r>
    <w:r>
      <w:rPr>
        <w:b w:val="false"/>
        <w:i/>
        <w:color w:val="666666"/>
        <w:sz w:val="20"/>
      </w:rPr>
      <w:fldChar w:fldCharType="separate"/>
    </w:r>
    <w:r>
      <w:rPr>
        <w:b w:val="false"/>
        <w:i/>
        <w:color w:val="666666"/>
        <w:sz w:val="20"/>
      </w:rPr>
      <w:t>11</w:t>
    </w:r>
    <w:r>
      <w:rPr>
        <w:b w:val="false"/>
        <w:i/>
        <w:color w:val="666666"/>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b w:val="false"/>
        <w:i w:val="false"/>
        <w:color w:val="666666"/>
        <w:sz w:val="18"/>
      </w:rPr>
      <w:t xml:space="preserve">Página </w:t>
    </w:r>
    <w:r>
      <w:rPr>
        <w:b w:val="false"/>
        <w:i/>
        <w:color w:val="666666"/>
        <w:sz w:val="20"/>
      </w:rPr>
      <w:fldChar w:fldCharType="begin"/>
    </w:r>
    <w:r>
      <w:rPr>
        <w:b w:val="false"/>
        <w:i/>
        <w:color w:val="666666"/>
        <w:sz w:val="20"/>
      </w:rPr>
      <w:instrText xml:space="preserve"> PAGE </w:instrText>
    </w:r>
    <w:r>
      <w:rPr>
        <w:b w:val="false"/>
        <w:i/>
        <w:color w:val="666666"/>
        <w:sz w:val="20"/>
      </w:rPr>
      <w:fldChar w:fldCharType="separate"/>
    </w:r>
    <w:r>
      <w:rPr>
        <w:b w:val="false"/>
        <w:i/>
        <w:color w:val="666666"/>
        <w:sz w:val="20"/>
      </w:rPr>
      <w:t>11</w:t>
    </w:r>
    <w:r>
      <w:rPr>
        <w:b w:val="false"/>
        <w:i/>
        <w:color w:val="666666"/>
        <w:sz w:val="20"/>
      </w:rPr>
      <w:fldChar w:fldCharType="end"/>
    </w:r>
    <w:r>
      <w:rPr>
        <w:b w:val="false"/>
        <w:i w:val="false"/>
        <w:color w:val="666666"/>
        <w:sz w:val="18"/>
      </w:rPr>
      <w:t xml:space="preserve"> de </w:t>
    </w:r>
    <w:r>
      <w:rPr>
        <w:b w:val="false"/>
        <w:i/>
        <w:color w:val="666666"/>
        <w:sz w:val="20"/>
      </w:rPr>
      <w:fldChar w:fldCharType="begin"/>
    </w:r>
    <w:r>
      <w:rPr>
        <w:b w:val="false"/>
        <w:i/>
        <w:color w:val="666666"/>
        <w:sz w:val="20"/>
      </w:rPr>
      <w:instrText xml:space="preserve"> NUMPAGES </w:instrText>
    </w:r>
    <w:r>
      <w:rPr>
        <w:b w:val="false"/>
        <w:i/>
        <w:color w:val="666666"/>
        <w:sz w:val="20"/>
      </w:rPr>
      <w:fldChar w:fldCharType="separate"/>
    </w:r>
    <w:r>
      <w:rPr>
        <w:b w:val="false"/>
        <w:i/>
        <w:color w:val="666666"/>
        <w:sz w:val="20"/>
      </w:rPr>
      <w:t>11</w:t>
    </w:r>
    <w:r>
      <w:rPr>
        <w:b w:val="false"/>
        <w:i/>
        <w:color w:val="666666"/>
        <w:sz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val="false"/>
        <w:i w:val="false"/>
        <w:color w:val="666666"/>
        <w:sz w:val="17"/>
      </w:rPr>
      <w:t>CONFIDENCIAL | ServiceDesk — Plan de Desarrollo MVP</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val="false"/>
        <w:i w:val="false"/>
        <w:color w:val="666666"/>
        <w:sz w:val="17"/>
      </w:rPr>
      <w:t>CONFIDENCIAL | ServiceDesk — Plan de Desarrollo MVP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7365D"/>
      <w:sz w:val="30"/>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2F5597"/>
      <w:sz w:val="26"/>
      <w:szCs w:val="26"/>
    </w:rPr>
  </w:style>
  <w:style w:type="paragraph" w:styleId="Heading3">
    <w:name w:val="heading 3"/>
    <w:basedOn w:val="Normal"/>
    <w:next w:val="Normal"/>
    <w:link w:val="Heading3Char"/>
    <w:uiPriority w:val="9"/>
    <w:unhideWhenUsed/>
    <w:qFormat/>
    <w:rsid w:val="00fc693f"/>
    <w:pPr>
      <w:keepNext w:val="true"/>
      <w:keepLines/>
      <w:spacing w:before="120" w:after="60"/>
      <w:outlineLvl w:val="2"/>
    </w:pPr>
    <w:rPr>
      <w:rFonts w:ascii="Calibri" w:hAnsi="Calibri" w:eastAsia="ＭＳ ゴシック" w:cs="" w:asciiTheme="majorHAnsi" w:cstheme="majorBidi" w:eastAsiaTheme="majorEastAsia" w:hAnsiTheme="majorHAnsi"/>
      <w:b/>
      <w:bCs/>
      <w:color w:val="2F55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Application>LibreOffice/26.2.5.2$Linux_X86_64 LibreOffice_project/6d2b0d33fb0f5da53a12f98bed3e9973e56ff1f0</Application>
  <AppVersion>15.0000</AppVersion>
  <Pages>11</Pages>
  <Words>2142</Words>
  <Characters>13268</Characters>
  <CharactersWithSpaces>15134</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2026-09-03T11:13:46Z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