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ServiceDesk</w:t>
      </w:r>
    </w:p>
    <w:p>
      <w:pPr>
        <w:jc w:val="center"/>
      </w:pPr>
      <w:r>
        <w:rPr>
          <w:rFonts w:ascii="Cambria" w:hAnsi="Cambria"/>
          <w:b/>
          <w:color w:val="17365D"/>
          <w:sz w:val="44"/>
        </w:rPr>
        <w:t>Initial Architecture Decision Records</w:t>
      </w:r>
    </w:p>
    <w:p>
      <w:pPr>
        <w:pStyle w:val="Subtitle"/>
        <w:jc w:val="center"/>
      </w:pPr>
      <w:r>
        <w:t>Decisiones arquitectónicas propuestas para ratificación antes del inicio del desarrollo</w:t>
      </w:r>
    </w:p>
    <w:p/>
    <w:p>
      <w:pPr>
        <w:jc w:val="center"/>
      </w:pPr>
      <w:r>
        <w:rPr>
          <w:rFonts w:ascii="Cambria" w:hAnsi="Cambria"/>
          <w:sz w:val="22"/>
        </w:rPr>
        <w:t>ACME</w:t>
        <w:br/>
        <w:t>Versión 0.1 | 16 de septiembre de 2026</w:t>
        <w:br/>
        <w:t>Estado: Borrador para revisión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08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Documento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ServiceDesk – Initial Architecture Decision Records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Versión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0.1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Fecha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16 de septiembre de 2026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Estado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Borrador para revisión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Tarea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Issue #9 — Create Initial Architecture Decision Records (ADRs)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Origen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Architecture Baseline v0.2; C4 Diagrams v0.2; Task #8 draft</w:t>
            </w:r>
          </w:p>
        </w:tc>
      </w:tr>
      <w:tr>
        <w:tc>
          <w:tcPr>
            <w:tcW w:type="dxa" w:w="5083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Propósito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Registrar decisiones de arquitectura significativas, sus razones, alternativas y consecuencias para que los cambios futuros sean explícitos.</w:t>
            </w:r>
          </w:p>
        </w:tc>
      </w:tr>
    </w:tbl>
    <w:p/>
    <w:p>
      <w:pPr>
        <w:pStyle w:val="Heading1"/>
      </w:pPr>
      <w:r>
        <w:t>1. Convención</w:t>
      </w:r>
    </w:p>
    <w:p>
      <w:r>
        <w:t>Cada ADR se encuentra en estado Proposed hasta su aprobación. Una vez aprobado, su estado cambia a Accepted. Los ADRs aceptados no se editan para alterar decisiones históricas; una decisión posterior los reemplaza mediante un nuevo ADR con estado Superseded.</w:t>
      </w:r>
    </w:p>
    <w:p>
      <w:pPr>
        <w:pStyle w:val="Heading1"/>
        <w:pageBreakBefore/>
      </w:pPr>
      <w:r>
        <w:t>2. Resumen de ADRs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ADR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389"/>
          </w:tcPr>
          <w:p>
            <w:r>
              <w:t>ADR-001</w:t>
            </w:r>
          </w:p>
        </w:tc>
        <w:tc>
          <w:tcPr>
            <w:tcW w:type="dxa" w:w="3389"/>
          </w:tcPr>
          <w:p>
            <w:r>
              <w:t>PostgreSQL como motor relacional</w:t>
            </w:r>
          </w:p>
        </w:tc>
        <w:tc>
          <w:tcPr>
            <w:tcW w:type="dxa" w:w="3389"/>
          </w:tcPr>
          <w:p>
            <w:r>
              <w:t>Proposed</w:t>
            </w:r>
          </w:p>
        </w:tc>
      </w:tr>
      <w:tr>
        <w:tc>
          <w:tcPr>
            <w:tcW w:type="dxa" w:w="3389"/>
          </w:tcPr>
          <w:p>
            <w:r>
              <w:t>ADR-002</w:t>
            </w:r>
          </w:p>
        </w:tc>
        <w:tc>
          <w:tcPr>
            <w:tcW w:type="dxa" w:w="3389"/>
          </w:tcPr>
          <w:p>
            <w:r>
              <w:t>Ownership de datos por servicio y bases lógicas separadas</w:t>
            </w:r>
          </w:p>
        </w:tc>
        <w:tc>
          <w:tcPr>
            <w:tcW w:type="dxa" w:w="3389"/>
          </w:tcPr>
          <w:p>
            <w:r>
              <w:t>Proposed</w:t>
            </w:r>
          </w:p>
        </w:tc>
      </w:tr>
      <w:tr>
        <w:tc>
          <w:tcPr>
            <w:tcW w:type="dxa" w:w="3389"/>
          </w:tcPr>
          <w:p>
            <w:r>
              <w:t>ADR-003</w:t>
            </w:r>
          </w:p>
        </w:tc>
        <w:tc>
          <w:tcPr>
            <w:tcW w:type="dxa" w:w="3389"/>
          </w:tcPr>
          <w:p>
            <w:r>
              <w:t>RabbitMQ para eventos de integración</w:t>
            </w:r>
          </w:p>
        </w:tc>
        <w:tc>
          <w:tcPr>
            <w:tcW w:type="dxa" w:w="3389"/>
          </w:tcPr>
          <w:p>
            <w:r>
              <w:t>Proposed</w:t>
            </w:r>
          </w:p>
        </w:tc>
      </w:tr>
      <w:tr>
        <w:tc>
          <w:tcPr>
            <w:tcW w:type="dxa" w:w="3389"/>
          </w:tcPr>
          <w:p>
            <w:r>
              <w:t>ADR-004</w:t>
            </w:r>
          </w:p>
        </w:tc>
        <w:tc>
          <w:tcPr>
            <w:tcW w:type="dxa" w:w="3389"/>
          </w:tcPr>
          <w:p>
            <w:r>
              <w:t>Transactional Outbox e idempotencia</w:t>
            </w:r>
          </w:p>
        </w:tc>
        <w:tc>
          <w:tcPr>
            <w:tcW w:type="dxa" w:w="3389"/>
          </w:tcPr>
          <w:p>
            <w:r>
              <w:t>Proposed</w:t>
            </w:r>
          </w:p>
        </w:tc>
      </w:tr>
      <w:tr>
        <w:tc>
          <w:tcPr>
            <w:tcW w:type="dxa" w:w="3389"/>
          </w:tcPr>
          <w:p>
            <w:r>
              <w:t>ADR-005</w:t>
            </w:r>
          </w:p>
        </w:tc>
        <w:tc>
          <w:tcPr>
            <w:tcW w:type="dxa" w:w="3389"/>
          </w:tcPr>
          <w:p>
            <w:r>
              <w:t>Identity Service con ASP.NET Core Identity y JWT</w:t>
            </w:r>
          </w:p>
        </w:tc>
        <w:tc>
          <w:tcPr>
            <w:tcW w:type="dxa" w:w="3389"/>
          </w:tcPr>
          <w:p>
            <w:r>
              <w:t>Proposed</w:t>
            </w:r>
          </w:p>
        </w:tc>
      </w:tr>
      <w:tr>
        <w:tc>
          <w:tcPr>
            <w:tcW w:type="dxa" w:w="3389"/>
          </w:tcPr>
          <w:p>
            <w:r>
              <w:t>ADR-006</w:t>
            </w:r>
          </w:p>
        </w:tc>
        <w:tc>
          <w:tcPr>
            <w:tcW w:type="dxa" w:w="3389"/>
          </w:tcPr>
          <w:p>
            <w:r>
              <w:t>Clean Architecture aplicada de forma proporcional</w:t>
            </w:r>
          </w:p>
        </w:tc>
        <w:tc>
          <w:tcPr>
            <w:tcW w:type="dxa" w:w="3389"/>
          </w:tcPr>
          <w:p>
            <w:r>
              <w:t>Proposed</w:t>
            </w:r>
          </w:p>
        </w:tc>
      </w:tr>
      <w:tr>
        <w:tc>
          <w:tcPr>
            <w:tcW w:type="dxa" w:w="3389"/>
          </w:tcPr>
          <w:p>
            <w:r>
              <w:t>ADR-007</w:t>
            </w:r>
          </w:p>
        </w:tc>
        <w:tc>
          <w:tcPr>
            <w:tcW w:type="dxa" w:w="3389"/>
          </w:tcPr>
          <w:p>
            <w:r>
              <w:t>React + TypeScript como cliente web del MVP</w:t>
            </w:r>
          </w:p>
        </w:tc>
        <w:tc>
          <w:tcPr>
            <w:tcW w:type="dxa" w:w="3389"/>
          </w:tcPr>
          <w:p>
            <w:r>
              <w:t>Proposed</w:t>
            </w:r>
          </w:p>
        </w:tc>
      </w:tr>
      <w:tr>
        <w:tc>
          <w:tcPr>
            <w:tcW w:type="dxa" w:w="3389"/>
          </w:tcPr>
          <w:p>
            <w:r>
              <w:t>ADR-008</w:t>
            </w:r>
          </w:p>
        </w:tc>
        <w:tc>
          <w:tcPr>
            <w:tcW w:type="dxa" w:w="3389"/>
          </w:tcPr>
          <w:p>
            <w:r>
              <w:t>AI Agent Service separado con human-in-the-loop</w:t>
            </w:r>
          </w:p>
        </w:tc>
        <w:tc>
          <w:tcPr>
            <w:tcW w:type="dxa" w:w="3389"/>
          </w:tcPr>
          <w:p>
            <w:r>
              <w:t>Proposed</w:t>
            </w:r>
          </w:p>
        </w:tc>
      </w:tr>
      <w:tr>
        <w:tc>
          <w:tcPr>
            <w:tcW w:type="dxa" w:w="3389"/>
          </w:tcPr>
          <w:p>
            <w:r>
              <w:t>ADR-009</w:t>
            </w:r>
          </w:p>
        </w:tc>
        <w:tc>
          <w:tcPr>
            <w:tcW w:type="dxa" w:w="3389"/>
          </w:tcPr>
          <w:p>
            <w:r>
              <w:t>Monorepo y una solución .NET</w:t>
            </w:r>
          </w:p>
        </w:tc>
        <w:tc>
          <w:tcPr>
            <w:tcW w:type="dxa" w:w="3389"/>
          </w:tcPr>
          <w:p>
            <w:r>
              <w:t>Proposed</w:t>
            </w:r>
          </w:p>
        </w:tc>
      </w:tr>
    </w:tbl>
    <w:p>
      <w:r>
        <w:br w:type="page"/>
      </w:r>
    </w:p>
    <w:p>
      <w:pPr>
        <w:pStyle w:val="Heading1"/>
      </w:pPr>
      <w:r>
        <w:t>ADR-001 — PostgreSQL como motor relacional</w:t>
      </w:r>
    </w:p>
    <w:p>
      <w:r>
        <w:rPr>
          <w:b/>
          <w:color w:val="17365D"/>
        </w:rPr>
        <w:t>Estado</w:t>
      </w:r>
      <w:r>
        <w:br/>
        <w:t>Proposed</w:t>
      </w:r>
    </w:p>
    <w:p>
      <w:r>
        <w:rPr>
          <w:b/>
          <w:color w:val="17365D"/>
        </w:rPr>
        <w:t>Contexto</w:t>
      </w:r>
      <w:r>
        <w:br/>
        <w:t>El MVP necesita persistencia relacional compatible con .NET, EF Core, Linux y Docker, sin diferencias de edición entre ambientes.</w:t>
      </w:r>
    </w:p>
    <w:p>
      <w:r>
        <w:rPr>
          <w:b/>
          <w:color w:val="17365D"/>
        </w:rPr>
        <w:t>Decisión</w:t>
      </w:r>
      <w:r>
        <w:br/>
        <w:t>Usar PostgreSQL para Identity, Ticket, AI audit y Reporting. En local puede compartirse una instancia física con bases lógicas separadas.</w:t>
      </w:r>
    </w:p>
    <w:p>
      <w:r>
        <w:rPr>
          <w:b/>
          <w:color w:val="17365D"/>
        </w:rPr>
        <w:t>Razón</w:t>
      </w:r>
      <w:r>
        <w:br/>
        <w:t>Compatibilidad sólida mediante Npgsql; operación simple en Linux/Docker; evita dependencia de SQL Server.</w:t>
      </w:r>
    </w:p>
    <w:p>
      <w:r>
        <w:rPr>
          <w:b/>
          <w:color w:val="17365D"/>
        </w:rPr>
        <w:t>Alternativas consideradas</w:t>
      </w:r>
      <w:r>
        <w:br/>
        <w:t>SQL Server; SQLite para desarrollo.</w:t>
      </w:r>
    </w:p>
    <w:p>
      <w:r>
        <w:rPr>
          <w:b/>
          <w:color w:val="17365D"/>
        </w:rPr>
        <w:t>Consecuencias</w:t>
      </w:r>
      <w:r>
        <w:br/>
        <w:t>Se requiere Npgsql y disciplina para no introducir detalles de PostgreSQL en Domain/Application.</w:t>
      </w:r>
    </w:p>
    <w:p/>
    <w:p>
      <w:pPr>
        <w:pStyle w:val="Heading1"/>
      </w:pPr>
      <w:r>
        <w:t>ADR-002 — Ownership de datos por servicio y bases lógicas separadas</w:t>
      </w:r>
    </w:p>
    <w:p>
      <w:r>
        <w:rPr>
          <w:b/>
          <w:color w:val="17365D"/>
        </w:rPr>
        <w:t>Estado</w:t>
      </w:r>
      <w:r>
        <w:br/>
        <w:t>Proposed</w:t>
      </w:r>
    </w:p>
    <w:p>
      <w:r>
        <w:rPr>
          <w:b/>
          <w:color w:val="17365D"/>
        </w:rPr>
        <w:t>Contexto</w:t>
      </w:r>
      <w:r>
        <w:br/>
        <w:t>Los servicios deben poder evolucionar sin compartir tablas ni transacciones distribuidas.</w:t>
      </w:r>
    </w:p>
    <w:p>
      <w:r>
        <w:rPr>
          <w:b/>
          <w:color w:val="17365D"/>
        </w:rPr>
        <w:t>Decisión</w:t>
      </w:r>
      <w:r>
        <w:br/>
        <w:t>Cada servicio es dueño exclusivo de sus datos. No se permiten lecturas o escrituras SQL cruzadas. Las copias locales son proyecciones no autoritativas.</w:t>
      </w:r>
    </w:p>
    <w:p>
      <w:r>
        <w:rPr>
          <w:b/>
          <w:color w:val="17365D"/>
        </w:rPr>
        <w:t>Razón</w:t>
      </w:r>
      <w:r>
        <w:br/>
        <w:t>Reduce acoplamiento y hace reales los límites de servicio.</w:t>
      </w:r>
    </w:p>
    <w:p>
      <w:r>
        <w:rPr>
          <w:b/>
          <w:color w:val="17365D"/>
        </w:rPr>
        <w:t>Alternativas consideradas</w:t>
      </w:r>
      <w:r>
        <w:br/>
        <w:t>Base compartida; esquema compartido con permisos.</w:t>
      </w:r>
    </w:p>
    <w:p>
      <w:r>
        <w:rPr>
          <w:b/>
          <w:color w:val="17365D"/>
        </w:rPr>
        <w:t>Consecuencias</w:t>
      </w:r>
      <w:r>
        <w:br/>
        <w:t>Se acepta consistencia eventual y duplicación controlada de datos de referencia.</w:t>
      </w:r>
    </w:p>
    <w:p/>
    <w:p>
      <w:pPr>
        <w:pStyle w:val="Heading1"/>
      </w:pPr>
      <w:r>
        <w:t>ADR-003 — RabbitMQ para eventos de integración</w:t>
      </w:r>
    </w:p>
    <w:p>
      <w:r>
        <w:rPr>
          <w:b/>
          <w:color w:val="17365D"/>
        </w:rPr>
        <w:t>Estado</w:t>
      </w:r>
      <w:r>
        <w:br/>
        <w:t>Proposed</w:t>
      </w:r>
    </w:p>
    <w:p>
      <w:r>
        <w:rPr>
          <w:b/>
          <w:color w:val="17365D"/>
        </w:rPr>
        <w:t>Contexto</w:t>
      </w:r>
      <w:r>
        <w:br/>
        <w:t>AI y Reporting deben reaccionar a hechos de Ticket sin bloquear el flujo principal.</w:t>
      </w:r>
    </w:p>
    <w:p>
      <w:r>
        <w:rPr>
          <w:b/>
          <w:color w:val="17365D"/>
        </w:rPr>
        <w:t>Decisión</w:t>
      </w:r>
      <w:r>
        <w:br/>
        <w:t>Usar RabbitMQ como broker de eventos de integración versionados.</w:t>
      </w:r>
    </w:p>
    <w:p>
      <w:r>
        <w:rPr>
          <w:b/>
          <w:color w:val="17365D"/>
        </w:rPr>
        <w:t>Razón</w:t>
      </w:r>
      <w:r>
        <w:br/>
        <w:t>Tecnología adecuada para el alcance, fácil de ejecutar en Docker y suficiente para el volumen esperado del MVP.</w:t>
      </w:r>
    </w:p>
    <w:p>
      <w:r>
        <w:rPr>
          <w:b/>
          <w:color w:val="17365D"/>
        </w:rPr>
        <w:t>Alternativas consideradas</w:t>
      </w:r>
      <w:r>
        <w:br/>
        <w:t>Comunicación síncrona exclusiva; Kafka.</w:t>
      </w:r>
    </w:p>
    <w:p>
      <w:r>
        <w:rPr>
          <w:b/>
          <w:color w:val="17365D"/>
        </w:rPr>
        <w:t>Consecuencias</w:t>
      </w:r>
      <w:r>
        <w:br/>
        <w:t>Se añaden consumidores, retry/idempotencia y operación del broker; RabbitMQ no será event store.</w:t>
      </w:r>
    </w:p>
    <w:p/>
    <w:p>
      <w:pPr>
        <w:pStyle w:val="Heading1"/>
      </w:pPr>
      <w:r>
        <w:t>ADR-004 — Transactional Outbox e idempotencia</w:t>
      </w:r>
    </w:p>
    <w:p>
      <w:r>
        <w:rPr>
          <w:b/>
          <w:color w:val="17365D"/>
        </w:rPr>
        <w:t>Estado</w:t>
      </w:r>
      <w:r>
        <w:br/>
        <w:t>Proposed</w:t>
      </w:r>
    </w:p>
    <w:p>
      <w:r>
        <w:rPr>
          <w:b/>
          <w:color w:val="17365D"/>
        </w:rPr>
        <w:t>Contexto</w:t>
      </w:r>
      <w:r>
        <w:br/>
        <w:t>Persistir el cambio de negocio y publicar un evento como operaciones separadas puede producir inconsistencias.</w:t>
      </w:r>
    </w:p>
    <w:p>
      <w:r>
        <w:rPr>
          <w:b/>
          <w:color w:val="17365D"/>
        </w:rPr>
        <w:t>Decisión</w:t>
      </w:r>
      <w:r>
        <w:br/>
        <w:t>Ticket Service persiste el aggregate y OutboxMessage en la misma transacción. Un BackgroundService publica después. Los consumidores deben ser idempotentes.</w:t>
      </w:r>
    </w:p>
    <w:p>
      <w:r>
        <w:rPr>
          <w:b/>
          <w:color w:val="17365D"/>
        </w:rPr>
        <w:t>Razón</w:t>
      </w:r>
      <w:r>
        <w:br/>
        <w:t>Evita dual-write inconsistente sin introducir transacciones distribuidas.</w:t>
      </w:r>
    </w:p>
    <w:p>
      <w:r>
        <w:rPr>
          <w:b/>
          <w:color w:val="17365D"/>
        </w:rPr>
        <w:t>Alternativas consideradas</w:t>
      </w:r>
      <w:r>
        <w:br/>
        <w:t>Publicación directa dentro de la transacción; distributed transactions.</w:t>
      </w:r>
    </w:p>
    <w:p>
      <w:r>
        <w:rPr>
          <w:b/>
          <w:color w:val="17365D"/>
        </w:rPr>
        <w:t>Consecuencias</w:t>
      </w:r>
      <w:r>
        <w:br/>
        <w:t>Los eventos son eventualmente consistentes y se necesita mantenimiento/limpieza del outbox.</w:t>
      </w:r>
    </w:p>
    <w:p/>
    <w:p>
      <w:pPr>
        <w:pStyle w:val="Heading1"/>
      </w:pPr>
      <w:r>
        <w:t>ADR-005 — Identity Service con ASP.NET Core Identity y JWT</w:t>
      </w:r>
    </w:p>
    <w:p>
      <w:r>
        <w:rPr>
          <w:b/>
          <w:color w:val="17365D"/>
        </w:rPr>
        <w:t>Estado</w:t>
      </w:r>
      <w:r>
        <w:br/>
        <w:t>Proposed</w:t>
      </w:r>
    </w:p>
    <w:p>
      <w:r>
        <w:rPr>
          <w:b/>
          <w:color w:val="17365D"/>
        </w:rPr>
        <w:t>Contexto</w:t>
      </w:r>
      <w:r>
        <w:br/>
        <w:t>El MVP requiere autenticación, roles, autorización y service identities sin depender de un proveedor externo.</w:t>
      </w:r>
    </w:p>
    <w:p>
      <w:r>
        <w:rPr>
          <w:b/>
          <w:color w:val="17365D"/>
        </w:rPr>
        <w:t>Decisión</w:t>
      </w:r>
      <w:r>
        <w:br/>
        <w:t>Identity Service usa ASP.NET Core Identity y emite JWT para usuarios y M2M. Ticket mantiene proyecciones locales de usuario/equipo para autorización contextual.</w:t>
      </w:r>
    </w:p>
    <w:p>
      <w:r>
        <w:rPr>
          <w:b/>
          <w:color w:val="17365D"/>
        </w:rPr>
        <w:t>Razón</w:t>
      </w:r>
      <w:r>
        <w:br/>
        <w:t>Permite aprender authn/authz en .NET y mantiene autonomía de servicios.</w:t>
      </w:r>
    </w:p>
    <w:p>
      <w:r>
        <w:rPr>
          <w:b/>
          <w:color w:val="17365D"/>
        </w:rPr>
        <w:t>Alternativas consideradas</w:t>
      </w:r>
      <w:r>
        <w:br/>
        <w:t>Microsoft Entra ID/OIDC desde el inicio; autenticación custom.</w:t>
      </w:r>
    </w:p>
    <w:p>
      <w:r>
        <w:rPr>
          <w:b/>
          <w:color w:val="17365D"/>
        </w:rPr>
        <w:t>Consecuencias</w:t>
      </w:r>
      <w:r>
        <w:br/>
        <w:t>Se debe proteger correctamente firma, expiración y secrets. Una migración futura a OIDC externo es posible.</w:t>
      </w:r>
    </w:p>
    <w:p/>
    <w:p>
      <w:pPr>
        <w:pStyle w:val="Heading1"/>
      </w:pPr>
      <w:r>
        <w:t>ADR-006 — Clean Architecture aplicada de forma proporcional</w:t>
      </w:r>
    </w:p>
    <w:p>
      <w:r>
        <w:rPr>
          <w:b/>
          <w:color w:val="17365D"/>
        </w:rPr>
        <w:t>Estado</w:t>
      </w:r>
      <w:r>
        <w:br/>
        <w:t>Proposed</w:t>
      </w:r>
    </w:p>
    <w:p>
      <w:r>
        <w:rPr>
          <w:b/>
          <w:color w:val="17365D"/>
        </w:rPr>
        <w:t>Contexto</w:t>
      </w:r>
      <w:r>
        <w:br/>
        <w:t>Ticket Service contiene dominio e invariantes complejas; los demás servicios son principalmente integración/proyección.</w:t>
      </w:r>
    </w:p>
    <w:p>
      <w:r>
        <w:rPr>
          <w:b/>
          <w:color w:val="17365D"/>
        </w:rPr>
        <w:t>Decisión</w:t>
      </w:r>
      <w:r>
        <w:br/>
        <w:t>Aplicar Domain/Application/Infrastructure/API completo a Ticket Service. Identity, AI y Reporting usan Application/Infrastructure/host sin crear capas de dominio artificiales.</w:t>
      </w:r>
    </w:p>
    <w:p>
      <w:r>
        <w:rPr>
          <w:b/>
          <w:color w:val="17365D"/>
        </w:rPr>
        <w:t>Razón</w:t>
      </w:r>
      <w:r>
        <w:br/>
        <w:t>Mantiene el dominio principal limpio sin multiplicar proyectos innecesarios.</w:t>
      </w:r>
    </w:p>
    <w:p>
      <w:r>
        <w:rPr>
          <w:b/>
          <w:color w:val="17365D"/>
        </w:rPr>
        <w:t>Alternativas consideradas</w:t>
      </w:r>
      <w:r>
        <w:br/>
        <w:t>Misma plantilla de cuatro capas para todos los servicios; proyectos monolíticos por servicio.</w:t>
      </w:r>
    </w:p>
    <w:p>
      <w:r>
        <w:rPr>
          <w:b/>
          <w:color w:val="17365D"/>
        </w:rPr>
        <w:t>Consecuencias</w:t>
      </w:r>
      <w:r>
        <w:br/>
        <w:t>La estructura no será simétrica entre servicios, pero refleja su complejidad real.</w:t>
      </w:r>
    </w:p>
    <w:p/>
    <w:p>
      <w:pPr>
        <w:pStyle w:val="Heading1"/>
      </w:pPr>
      <w:r>
        <w:t>ADR-007 — React + TypeScript como cliente web del MVP</w:t>
      </w:r>
    </w:p>
    <w:p>
      <w:r>
        <w:rPr>
          <w:b/>
          <w:color w:val="17365D"/>
        </w:rPr>
        <w:t>Estado</w:t>
      </w:r>
      <w:r>
        <w:br/>
        <w:t>Proposed</w:t>
      </w:r>
    </w:p>
    <w:p>
      <w:r>
        <w:rPr>
          <w:b/>
          <w:color w:val="17365D"/>
        </w:rPr>
        <w:t>Contexto</w:t>
      </w:r>
      <w:r>
        <w:br/>
        <w:t>El MVP debe demostrar el flujo de usuario y servir como práctica full stack.</w:t>
      </w:r>
    </w:p>
    <w:p>
      <w:r>
        <w:rPr>
          <w:b/>
          <w:color w:val="17365D"/>
        </w:rPr>
        <w:t>Decisión</w:t>
      </w:r>
      <w:r>
        <w:br/>
        <w:t>Implementar un cliente React + TypeScript que consuma únicamente APIs y no contenga lógica de negocio autoritativa.</w:t>
      </w:r>
    </w:p>
    <w:p>
      <w:r>
        <w:rPr>
          <w:b/>
          <w:color w:val="17365D"/>
        </w:rPr>
        <w:t>Razón</w:t>
      </w:r>
      <w:r>
        <w:br/>
        <w:t>Alinea el producto con el objetivo de aprendizaje y permite validar auth, tickets y métricas de punta a punta.</w:t>
      </w:r>
    </w:p>
    <w:p>
      <w:r>
        <w:rPr>
          <w:b/>
          <w:color w:val="17365D"/>
        </w:rPr>
        <w:t>Alternativas consideradas</w:t>
      </w:r>
      <w:r>
        <w:br/>
        <w:t>API-only con Swagger/Postman; framework server-rendered.</w:t>
      </w:r>
    </w:p>
    <w:p>
      <w:r>
        <w:rPr>
          <w:b/>
          <w:color w:val="17365D"/>
        </w:rPr>
        <w:t>Consecuencias</w:t>
      </w:r>
      <w:r>
        <w:br/>
        <w:t>Se añade trabajo de frontend y E2E, pero sigue siendo parte del entregable MVP.</w:t>
      </w:r>
    </w:p>
    <w:p/>
    <w:p>
      <w:pPr>
        <w:pStyle w:val="Heading1"/>
      </w:pPr>
      <w:r>
        <w:t>ADR-008 — AI Agent Service separado con human-in-the-loop</w:t>
      </w:r>
    </w:p>
    <w:p>
      <w:r>
        <w:rPr>
          <w:b/>
          <w:color w:val="17365D"/>
        </w:rPr>
        <w:t>Estado</w:t>
      </w:r>
      <w:r>
        <w:br/>
        <w:t>Proposed</w:t>
      </w:r>
    </w:p>
    <w:p>
      <w:r>
        <w:rPr>
          <w:b/>
          <w:color w:val="17365D"/>
        </w:rPr>
        <w:t>Contexto</w:t>
      </w:r>
      <w:r>
        <w:br/>
        <w:t>La IA debe enriquecer triage sin convertirse en autoridad sobre el ticket.</w:t>
      </w:r>
    </w:p>
    <w:p>
      <w:r>
        <w:rPr>
          <w:b/>
          <w:color w:val="17365D"/>
        </w:rPr>
        <w:t>Decisión</w:t>
      </w:r>
      <w:r>
        <w:br/>
        <w:t>Ejecutar Ticket Triage Agent en un servicio separado. Produce AiRecommendation y MissingInformation; un humano acepta, modifica o rechaza antes de modificar Ticket.</w:t>
      </w:r>
    </w:p>
    <w:p>
      <w:r>
        <w:rPr>
          <w:b/>
          <w:color w:val="17365D"/>
        </w:rPr>
        <w:t>Razón</w:t>
      </w:r>
      <w:r>
        <w:br/>
        <w:t>Aísla dependencias de modelos/proveedores y protege reglas de negocio.</w:t>
      </w:r>
    </w:p>
    <w:p>
      <w:r>
        <w:rPr>
          <w:b/>
          <w:color w:val="17365D"/>
        </w:rPr>
        <w:t>Alternativas consideradas</w:t>
      </w:r>
      <w:r>
        <w:br/>
        <w:t>LLM embebido directamente en Ticket Service; cambios automáticos por IA.</w:t>
      </w:r>
    </w:p>
    <w:p>
      <w:r>
        <w:rPr>
          <w:b/>
          <w:color w:val="17365D"/>
        </w:rPr>
        <w:t>Consecuencias</w:t>
      </w:r>
      <w:r>
        <w:br/>
        <w:t>Se añade comunicación asíncrona/API y auditoría técnica, pero se conserva control humano.</w:t>
      </w:r>
    </w:p>
    <w:p/>
    <w:p>
      <w:pPr>
        <w:pStyle w:val="Heading1"/>
      </w:pPr>
      <w:r>
        <w:t>ADR-009 — Monorepo y una solución .NET</w:t>
      </w:r>
    </w:p>
    <w:p>
      <w:r>
        <w:rPr>
          <w:b/>
          <w:color w:val="17365D"/>
        </w:rPr>
        <w:t>Estado</w:t>
      </w:r>
      <w:r>
        <w:br/>
        <w:t>Proposed</w:t>
      </w:r>
    </w:p>
    <w:p>
      <w:r>
        <w:rPr>
          <w:b/>
          <w:color w:val="17365D"/>
        </w:rPr>
        <w:t>Contexto</w:t>
      </w:r>
      <w:r>
        <w:br/>
        <w:t>El proyecto tiene un único desarrollador y varios servicios relacionados; el costo operativo de múltiples repositorios no aporta valor al MVP.</w:t>
      </w:r>
    </w:p>
    <w:p>
      <w:r>
        <w:rPr>
          <w:b/>
          <w:color w:val="17365D"/>
        </w:rPr>
        <w:t>Decisión</w:t>
      </w:r>
      <w:r>
        <w:br/>
        <w:t>Mantener servicios backend, frontend, tests, infraestructura y documentación en un monorepo. Usar una única ServiceDesk.slnx para proyectos .NET.</w:t>
      </w:r>
    </w:p>
    <w:p>
      <w:r>
        <w:rPr>
          <w:b/>
          <w:color w:val="17365D"/>
        </w:rPr>
        <w:t>Razón</w:t>
      </w:r>
      <w:r>
        <w:br/>
        <w:t>Simplifica refactors coordinados, CI y aprendizaje, sin impedir separar servicios más adelante.</w:t>
      </w:r>
    </w:p>
    <w:p>
      <w:r>
        <w:rPr>
          <w:b/>
          <w:color w:val="17365D"/>
        </w:rPr>
        <w:t>Alternativas consideradas</w:t>
      </w:r>
      <w:r>
        <w:br/>
        <w:t>Un repositorio por servicio.</w:t>
      </w:r>
    </w:p>
    <w:p>
      <w:r>
        <w:rPr>
          <w:b/>
          <w:color w:val="17365D"/>
        </w:rPr>
        <w:t>Consecuencias</w:t>
      </w:r>
      <w:r>
        <w:br/>
        <w:t>CI debe detectar qué partes cambiaron a medida que el proyecto crezca; se prohíben project references entre servicios.</w:t>
      </w:r>
    </w:p>
    <w:p>
      <w:pPr>
        <w:pStyle w:val="Heading1"/>
      </w:pPr>
      <w:r>
        <w:t>3. Decisiones no congeladas por estos ADRs</w:t>
      </w:r>
    </w:p>
    <w:p>
      <w:pPr>
        <w:pStyle w:val="ListBullet"/>
      </w:pPr>
      <w:r>
        <w:t>Proveedor o modelo LLM específico. Debe permanecer intercambiable detrás de AI Agent Service.</w:t>
      </w:r>
    </w:p>
    <w:p>
      <w:pPr>
        <w:pStyle w:val="ListBullet"/>
      </w:pPr>
      <w:r>
        <w:t>Mecanismo exacto de despliegue a staging entre SSH directo y runner controlado.</w:t>
      </w:r>
    </w:p>
    <w:p>
      <w:pPr>
        <w:pStyle w:val="ListBullet"/>
      </w:pPr>
      <w:r>
        <w:t>Esquema final de AgentExecutionAudit. Se definirá al implementar el AI Agent Service.</w:t>
      </w:r>
    </w:p>
    <w:p>
      <w:pPr>
        <w:pStyle w:val="ListBullet"/>
      </w:pPr>
      <w:r>
        <w:t>Proveedor de hosting de producción. La arquitectura debe seguir siendo portable mediante contenedores.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777777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/>
        <w:color w:val="777777"/>
        <w:sz w:val="18"/>
      </w:rPr>
      <w:t>ServiceDesk — Initial Architecture Decision Records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mbria" w:hAnsi="Cambria"/>
      <w:color w:val="1F1F1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mbria" w:hAnsi="Cambria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pPr>
      <w:spacing w:after="100"/>
      <w:ind w:left="288"/>
    </w:pPr>
    <w:rPr>
      <w:rFonts w:ascii="Cambria" w:hAnsi="Cambria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