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56"/>
          <w:szCs w:val="56"/>
        </w:rPr>
        <w:t xml:space="preserve">ServiceDesk</w:t>
      </w:r>
    </w:p>
    <w:p>
      <w:pPr>
        <w:spacing w:after="80"/>
        <w:jc w:val="center"/>
      </w:pPr>
      <w:r>
        <w:rPr>
          <w:b/>
          <w:bCs/>
          <w:color w:val="444444"/>
          <w:sz w:val="32"/>
          <w:szCs w:val="32"/>
        </w:rPr>
        <w:t xml:space="preserve">Diagramas C4 — System Context &amp; Container</w:t>
      </w:r>
    </w:p>
    <w:p>
      <w:pPr>
        <w:spacing w:after="400"/>
        <w:jc w:val="center"/>
      </w:pPr>
      <w:r>
        <w:rPr>
          <w:i/>
          <w:iCs/>
          <w:color w:val="666666"/>
          <w:sz w:val="22"/>
          <w:szCs w:val="22"/>
        </w:rPr>
        <w:t xml:space="preserve">Vista visual de la Architecture Baseline v0.1: componentes, actores y relaciones</w:t>
      </w:r>
    </w:p>
    <w:p>
      <w:pPr>
        <w:spacing w:after="40"/>
        <w:jc w:val="center"/>
      </w:pPr>
      <w:r>
        <w:rPr>
          <w:b/>
          <w:bCs/>
          <w:sz w:val="24"/>
          <w:szCs w:val="24"/>
        </w:rPr>
        <w:t xml:space="preserve">ACME</w:t>
      </w:r>
    </w:p>
    <w:p>
      <w:pPr>
        <w:jc w:val="center"/>
      </w:pPr>
      <w:r>
        <w:rPr>
          <w:color w:val="666666"/>
          <w:sz w:val="20"/>
          <w:szCs w:val="20"/>
        </w:rPr>
        <w:t xml:space="preserve">Versión 0.1 | 8 de septiembre de 2026</w:t>
      </w:r>
    </w:p>
    <w:p>
      <w:r>
        <w:br w:type="page"/>
      </w:r>
    </w:p>
    <w:p>
      <w:pPr>
        <w:pStyle w:val="Heading1"/>
        <w:spacing w:after="160" w:before="400"/>
      </w:pPr>
      <w:r>
        <w:t xml:space="preserve">Control del documento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3864" w:val="clear"/>
            <w:tcMar>
              <w:top w:type="dxa" w:w="80"/>
              <w:left w:type="dxa" w:w="100"/>
              <w:bottom w:type="dxa" w:w="80"/>
              <w:right w:type="dxa" w:w="100"/>
            </w:tcMar>
            <w:vAlign w:val="center"/>
          </w:tcPr>
          <w:p>
            <w:r>
              <w:rPr>
                <w:b/>
                <w:bCs/>
                <w:color w:val="FFFFFF"/>
                <w:sz w:val="20"/>
                <w:szCs w:val="20"/>
              </w:rPr>
              <w:t xml:space="preserve">Campo</w:t>
            </w:r>
          </w:p>
        </w:tc>
        <w:tc>
          <w:tcPr>
            <w:tcW w:type="pct" w:w="75%"/>
            <w:shd w:fill="1F3864" w:val="clear"/>
            <w:tcMar>
              <w:top w:type="dxa" w:w="80"/>
              <w:left w:type="dxa" w:w="100"/>
              <w:bottom w:type="dxa" w:w="80"/>
              <w:right w:type="dxa" w:w="100"/>
            </w:tcMar>
            <w:vAlign w:val="center"/>
          </w:tcPr>
          <w:p>
            <w:r>
              <w:rPr>
                <w:b/>
                <w:bCs/>
                <w:color w:val="FFFFFF"/>
                <w:sz w:val="20"/>
                <w:szCs w:val="20"/>
              </w:rPr>
              <w:t xml:space="preserve">Valor</w:t>
            </w:r>
          </w:p>
        </w:tc>
      </w:tr>
      <w:tr>
        <w:tc>
          <w:tcPr>
            <w:tcW w:type="pct" w:w="25%"/>
            <w:tcMar>
              <w:top w:type="dxa" w:w="80"/>
              <w:left w:type="dxa" w:w="100"/>
              <w:bottom w:type="dxa" w:w="80"/>
              <w:right w:type="dxa" w:w="100"/>
            </w:tcMar>
            <w:vAlign w:val="center"/>
          </w:tcPr>
          <w:p>
            <w:pPr>
              <w:spacing w:after="40"/>
            </w:pPr>
            <w:r>
              <w:rPr>
                <w:b w:val="false"/>
                <w:bCs w:val="false"/>
                <w:sz w:val="20"/>
                <w:szCs w:val="20"/>
              </w:rPr>
              <w:t xml:space="preserve">Documento</w:t>
            </w:r>
          </w:p>
        </w:tc>
        <w:tc>
          <w:tcPr>
            <w:tcW w:type="pct" w:w="75%"/>
            <w:tcMar>
              <w:top w:type="dxa" w:w="80"/>
              <w:left w:type="dxa" w:w="100"/>
              <w:bottom w:type="dxa" w:w="80"/>
              <w:right w:type="dxa" w:w="100"/>
            </w:tcMar>
            <w:vAlign w:val="center"/>
          </w:tcPr>
          <w:p>
            <w:pPr>
              <w:spacing w:after="40"/>
            </w:pPr>
            <w:r>
              <w:rPr>
                <w:b w:val="false"/>
                <w:bCs w:val="false"/>
                <w:sz w:val="20"/>
                <w:szCs w:val="20"/>
              </w:rPr>
              <w:t xml:space="preserve">ServiceDesk – Diagramas C4 (Contexto y Contenedores)</w:t>
            </w:r>
          </w:p>
        </w:tc>
      </w:tr>
      <w:tr>
        <w:tc>
          <w:tcPr>
            <w:tcW w:type="pct" w:w="25%"/>
            <w:tcMar>
              <w:top w:type="dxa" w:w="80"/>
              <w:left w:type="dxa" w:w="100"/>
              <w:bottom w:type="dxa" w:w="80"/>
              <w:right w:type="dxa" w:w="100"/>
            </w:tcMar>
            <w:vAlign w:val="center"/>
          </w:tcPr>
          <w:p>
            <w:pPr>
              <w:spacing w:after="40"/>
            </w:pPr>
            <w:r>
              <w:rPr>
                <w:b w:val="false"/>
                <w:bCs w:val="false"/>
                <w:sz w:val="20"/>
                <w:szCs w:val="20"/>
              </w:rPr>
              <w:t xml:space="preserve">Versión</w:t>
            </w:r>
          </w:p>
        </w:tc>
        <w:tc>
          <w:tcPr>
            <w:tcW w:type="pct" w:w="75%"/>
            <w:tcMar>
              <w:top w:type="dxa" w:w="80"/>
              <w:left w:type="dxa" w:w="100"/>
              <w:bottom w:type="dxa" w:w="80"/>
              <w:right w:type="dxa" w:w="100"/>
            </w:tcMar>
            <w:vAlign w:val="center"/>
          </w:tcPr>
          <w:p>
            <w:pPr>
              <w:spacing w:after="40"/>
            </w:pPr>
            <w:r>
              <w:rPr>
                <w:b w:val="false"/>
                <w:bCs w:val="false"/>
                <w:sz w:val="20"/>
                <w:szCs w:val="20"/>
              </w:rPr>
              <w:t xml:space="preserve">0.1</w:t>
            </w:r>
          </w:p>
        </w:tc>
      </w:tr>
      <w:tr>
        <w:tc>
          <w:tcPr>
            <w:tcW w:type="pct" w:w="25%"/>
            <w:tcMar>
              <w:top w:type="dxa" w:w="80"/>
              <w:left w:type="dxa" w:w="100"/>
              <w:bottom w:type="dxa" w:w="80"/>
              <w:right w:type="dxa" w:w="100"/>
            </w:tcMar>
            <w:vAlign w:val="center"/>
          </w:tcPr>
          <w:p>
            <w:pPr>
              <w:spacing w:after="40"/>
            </w:pPr>
            <w:r>
              <w:rPr>
                <w:b w:val="false"/>
                <w:bCs w:val="false"/>
                <w:sz w:val="20"/>
                <w:szCs w:val="20"/>
              </w:rPr>
              <w:t xml:space="preserve">Fecha</w:t>
            </w:r>
          </w:p>
        </w:tc>
        <w:tc>
          <w:tcPr>
            <w:tcW w:type="pct" w:w="75%"/>
            <w:tcMar>
              <w:top w:type="dxa" w:w="80"/>
              <w:left w:type="dxa" w:w="100"/>
              <w:bottom w:type="dxa" w:w="80"/>
              <w:right w:type="dxa" w:w="100"/>
            </w:tcMar>
            <w:vAlign w:val="center"/>
          </w:tcPr>
          <w:p>
            <w:pPr>
              <w:spacing w:after="40"/>
            </w:pPr>
            <w:r>
              <w:rPr>
                <w:b w:val="false"/>
                <w:bCs w:val="false"/>
                <w:sz w:val="20"/>
                <w:szCs w:val="20"/>
              </w:rPr>
              <w:t xml:space="preserve">8 de septiembre de 2026</w:t>
            </w:r>
          </w:p>
        </w:tc>
      </w:tr>
      <w:tr>
        <w:tc>
          <w:tcPr>
            <w:tcW w:type="pct" w:w="25%"/>
            <w:tcMar>
              <w:top w:type="dxa" w:w="80"/>
              <w:left w:type="dxa" w:w="100"/>
              <w:bottom w:type="dxa" w:w="80"/>
              <w:right w:type="dxa" w:w="100"/>
            </w:tcMar>
            <w:vAlign w:val="center"/>
          </w:tcPr>
          <w:p>
            <w:pPr>
              <w:spacing w:after="40"/>
            </w:pPr>
            <w:r>
              <w:rPr>
                <w:b w:val="false"/>
                <w:bCs w:val="false"/>
                <w:sz w:val="20"/>
                <w:szCs w:val="20"/>
              </w:rPr>
              <w:t xml:space="preserve">Estado</w:t>
            </w:r>
          </w:p>
        </w:tc>
        <w:tc>
          <w:tcPr>
            <w:tcW w:type="pct" w:w="75%"/>
            <w:tcMar>
              <w:top w:type="dxa" w:w="80"/>
              <w:left w:type="dxa" w:w="100"/>
              <w:bottom w:type="dxa" w:w="80"/>
              <w:right w:type="dxa" w:w="100"/>
            </w:tcMar>
            <w:vAlign w:val="center"/>
          </w:tcPr>
          <w:p>
            <w:pPr>
              <w:spacing w:after="40"/>
            </w:pPr>
            <w:r>
              <w:rPr>
                <w:b w:val="false"/>
                <w:bCs w:val="false"/>
                <w:sz w:val="20"/>
                <w:szCs w:val="20"/>
              </w:rPr>
              <w:t xml:space="preserve">Cierre de tarea #7</w:t>
            </w:r>
          </w:p>
        </w:tc>
      </w:tr>
      <w:tr>
        <w:tc>
          <w:tcPr>
            <w:tcW w:type="pct" w:w="25%"/>
            <w:tcMar>
              <w:top w:type="dxa" w:w="80"/>
              <w:left w:type="dxa" w:w="100"/>
              <w:bottom w:type="dxa" w:w="80"/>
              <w:right w:type="dxa" w:w="100"/>
            </w:tcMar>
            <w:vAlign w:val="center"/>
          </w:tcPr>
          <w:p>
            <w:pPr>
              <w:spacing w:after="40"/>
            </w:pPr>
            <w:r>
              <w:rPr>
                <w:b w:val="false"/>
                <w:bCs w:val="false"/>
                <w:sz w:val="20"/>
                <w:szCs w:val="20"/>
              </w:rPr>
              <w:t xml:space="preserve">Origen</w:t>
            </w:r>
          </w:p>
        </w:tc>
        <w:tc>
          <w:tcPr>
            <w:tcW w:type="pct" w:w="75%"/>
            <w:tcMar>
              <w:top w:type="dxa" w:w="80"/>
              <w:left w:type="dxa" w:w="100"/>
              <w:bottom w:type="dxa" w:w="80"/>
              <w:right w:type="dxa" w:w="100"/>
            </w:tcMar>
            <w:vAlign w:val="center"/>
          </w:tcPr>
          <w:p>
            <w:pPr>
              <w:spacing w:after="40"/>
            </w:pPr>
            <w:r>
              <w:rPr>
                <w:b w:val="false"/>
                <w:bCs w:val="false"/>
                <w:sz w:val="20"/>
                <w:szCs w:val="20"/>
              </w:rPr>
              <w:t xml:space="preserve">ServiceDesk_Architecture_Baseline v0.1</w:t>
            </w:r>
          </w:p>
        </w:tc>
      </w:tr>
      <w:tr>
        <w:tc>
          <w:tcPr>
            <w:tcW w:type="pct" w:w="25%"/>
            <w:tcMar>
              <w:top w:type="dxa" w:w="80"/>
              <w:left w:type="dxa" w:w="100"/>
              <w:bottom w:type="dxa" w:w="80"/>
              <w:right w:type="dxa" w:w="100"/>
            </w:tcMar>
            <w:vAlign w:val="center"/>
          </w:tcPr>
          <w:p>
            <w:pPr>
              <w:spacing w:after="40"/>
            </w:pPr>
            <w:r>
              <w:rPr>
                <w:b w:val="false"/>
                <w:bCs w:val="false"/>
                <w:sz w:val="20"/>
                <w:szCs w:val="20"/>
              </w:rPr>
              <w:t xml:space="preserve">Propósito</w:t>
            </w:r>
          </w:p>
        </w:tc>
        <w:tc>
          <w:tcPr>
            <w:tcW w:type="pct" w:w="75%"/>
            <w:tcMar>
              <w:top w:type="dxa" w:w="80"/>
              <w:left w:type="dxa" w:w="100"/>
              <w:bottom w:type="dxa" w:w="80"/>
              <w:right w:type="dxa" w:w="100"/>
            </w:tcMar>
            <w:vAlign w:val="center"/>
          </w:tcPr>
          <w:p>
            <w:pPr>
              <w:spacing w:after="40"/>
            </w:pPr>
            <w:r>
              <w:rPr>
                <w:b w:val="false"/>
                <w:bCs w:val="false"/>
                <w:sz w:val="20"/>
                <w:szCs w:val="20"/>
              </w:rPr>
              <w:t xml:space="preserve">Traducir visualmente las decisiones ya fijadas en la Architecture Baseline (componentes, ownership de datos, patrones de comunicación) en un Diagrama de Contexto (C4 nivel 1) y un Diagrama de Contenedores (C4 nivel 2). No introduce decisiones nuevas.</w:t>
            </w:r>
          </w:p>
        </w:tc>
      </w:tr>
    </w:tbl>
    <w:p>
      <w:pPr>
        <w:pStyle w:val="Heading1"/>
        <w:spacing w:after="160" w:before="400"/>
      </w:pPr>
      <w:r>
        <w:t xml:space="preserve">1. System Context Diagram</w:t>
      </w:r>
    </w:p>
    <w:p>
      <w:pPr>
        <w:spacing w:after="160"/>
      </w:pPr>
      <w:r>
        <w:rPr>
          <w:b w:val="false"/>
          <w:bCs w:val="false"/>
          <w:i w:val="false"/>
          <w:iCs w:val="false"/>
        </w:rPr>
        <w:t xml:space="preserve">Muestra ServiceDesk como una única caja (el sistema completo) y los cinco roles que interactúan con él, tomados directamente del catálogo de roles ya fijado en la sección 7 de la Architecture Baseline.</w:t>
      </w:r>
    </w:p>
    <w:p>
      <w:pPr>
        <w:spacing w:after="40" w:before="160"/>
        <w:jc w:val="center"/>
      </w:pPr>
      <w:r>
        <w:drawing>
          <wp:inline distT="0" distB="0" distL="0" distR="0">
            <wp:extent cx="40005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219700"/>
                    </a:xfrm>
                    <a:prstGeom prst="rect">
                      <a:avLst/>
                    </a:prstGeom>
                  </pic:spPr>
                </pic:pic>
              </a:graphicData>
            </a:graphic>
          </wp:inline>
        </w:drawing>
      </w:r>
    </w:p>
    <w:p>
      <w:pPr>
        <w:spacing w:after="240" w:before="80"/>
        <w:jc w:val="center"/>
      </w:pPr>
      <w:r>
        <w:rPr>
          <w:i/>
          <w:iCs/>
          <w:color w:val="666666"/>
          <w:sz w:val="18"/>
          <w:szCs w:val="18"/>
        </w:rPr>
        <w:t xml:space="preserve">Figura 1. Diagrama de contexto del sistema — ServiceDesk.</w:t>
      </w:r>
    </w:p>
    <w:p>
      <w:pPr>
        <w:spacing w:after="160"/>
      </w:pPr>
      <w:r>
        <w:rPr>
          <w:b w:val="false"/>
          <w:bCs w:val="false"/>
          <w:i w:val="false"/>
          <w:iCs w:val="false"/>
        </w:rPr>
        <w:t xml:space="preserve">Nota sobre sistemas externos: el MVP no tiene sistemas externos obligatorios en runtime. GitHub/CI-CD es una dependencia de desarrollo (build, tests, publicación de imágenes), no una integración en tiempo de ejecución del sistema, por lo que se excluye de este diagrama para mantener la semántica correcta de un Context Diagram en C4 (solo sistemas que intercambian datos con ServiceDesk mientras opera). Correo corporativo tampoco aparece: la Architecture Baseline (sección 12) excluye explícitamente la integración automática por correo del MVP.</w:t>
      </w:r>
    </w:p>
    <w:p>
      <w:r>
        <w:br w:type="page"/>
      </w:r>
    </w:p>
    <w:p>
      <w:pPr>
        <w:pStyle w:val="Heading1"/>
        <w:spacing w:after="160" w:before="400"/>
      </w:pPr>
      <w:r>
        <w:t xml:space="preserve">2. Container Diagram</w:t>
      </w:r>
    </w:p>
    <w:p>
      <w:pPr>
        <w:spacing w:after="160"/>
      </w:pPr>
      <w:r>
        <w:rPr>
          <w:b w:val="false"/>
          <w:bCs w:val="false"/>
          <w:i w:val="false"/>
          <w:iCs w:val="false"/>
        </w:rPr>
        <w:t xml:space="preserve">Abre ServiceDesk en sus piezas principales — frontend, los cuatro servicios backend, el broker de mensajería y una base de datos por servicio — y muestra cómo se comunican, sin bajar a nivel de clases ni de endpoints.</w:t>
      </w:r>
    </w:p>
    <w:p>
      <w:pPr>
        <w:spacing w:after="40" w:before="160"/>
        <w:jc w:val="center"/>
      </w:pPr>
      <w:r>
        <w:drawing>
          <wp:inline distT="0" distB="0" distL="0" distR="0">
            <wp:extent cx="43815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638800"/>
                    </a:xfrm>
                    <a:prstGeom prst="rect">
                      <a:avLst/>
                    </a:prstGeom>
                  </pic:spPr>
                </pic:pic>
              </a:graphicData>
            </a:graphic>
          </wp:inline>
        </w:drawing>
      </w:r>
    </w:p>
    <w:p>
      <w:pPr>
        <w:spacing w:after="240" w:before="80"/>
        <w:jc w:val="center"/>
      </w:pPr>
      <w:r>
        <w:rPr>
          <w:i/>
          <w:iCs/>
          <w:color w:val="666666"/>
          <w:sz w:val="18"/>
          <w:szCs w:val="18"/>
        </w:rPr>
        <w:t xml:space="preserve">Figura 2. Diagrama de contenedores — ServiceDesk.</w:t>
      </w:r>
    </w:p>
    <w:p>
      <w:pPr>
        <w:pStyle w:val="Heading2"/>
        <w:spacing w:after="100" w:before="280"/>
      </w:pPr>
      <w:r>
        <w:t xml:space="preserve">2.1 Lectura de las relaciones clave</w:t>
      </w:r>
    </w:p>
    <w:p>
      <w:pPr>
        <w:pStyle w:val="ListParagraph"/>
        <w:numPr>
          <w:ilvl w:val="0"/>
          <w:numId w:val="1"/>
        </w:numPr>
        <w:spacing w:after="80"/>
      </w:pPr>
      <w:r>
        <w:t xml:space="preserve">REST/JWT (línea continua): toda llamada síncrona — frontend hacia los servicios, y AI Agent Service / Reporting Service hacia Identity Service para obtener su identidad de servicio (M2M).</w:t>
      </w:r>
    </w:p>
    <w:p>
      <w:pPr>
        <w:pStyle w:val="ListParagraph"/>
        <w:numPr>
          <w:ilvl w:val="0"/>
          <w:numId w:val="1"/>
        </w:numPr>
        <w:spacing w:after="80"/>
      </w:pPr>
      <w:r>
        <w:t xml:space="preserve">Eventos (vía RabbitMQ): Ticket Service publica eventos de integración usando Outbox pattern; AI Agent Service y Reporting Service los consumen de forma asíncrona e idempotente — nunca leen la base de datos de Ticket Service.</w:t>
      </w:r>
    </w:p>
    <w:p>
      <w:pPr>
        <w:pStyle w:val="ListParagraph"/>
        <w:numPr>
          <w:ilvl w:val="0"/>
          <w:numId w:val="1"/>
        </w:numPr>
        <w:spacing w:after="80"/>
      </w:pPr>
      <w:r>
        <w:t xml:space="preserve">Ownership de datos (una flecha por servicio hacia su propia base): cada servicio accede solo a su propio esquema PostgreSQL, consistente con el principio AP-04 de la Architecture Baseline. Ninguna flecha cruza de un servicio a la base de datos de otro.</w:t>
      </w:r>
    </w:p>
    <w:p>
      <w:pPr>
        <w:pStyle w:val="ListParagraph"/>
        <w:numPr>
          <w:ilvl w:val="0"/>
          <w:numId w:val="1"/>
        </w:numPr>
        <w:spacing w:after="80"/>
      </w:pPr>
      <w:r>
        <w:t xml:space="preserve">AI Audit DB vs. AiRecommendation: la base de AI Agent Service guarda únicamente su auditoría de invocaciones (prompt, tokens, resultado); la entidad AiRecommendation del dominio vive en Ticket DB, porque se escribe a través de la API de Ticket Service — esta distinción ya quedó resuelta en la sección 5 de la Architecture Baseline y el diagrama la respeta.</w:t>
      </w:r>
    </w:p>
    <w:p>
      <w:pPr>
        <w:pStyle w:val="Heading1"/>
        <w:spacing w:after="160" w:before="400"/>
      </w:pPr>
      <w:r>
        <w:t xml:space="preserve">3. Trazabilidad con la Architecture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2%"/>
            <w:shd w:fill="1F3864" w:val="clear"/>
            <w:tcMar>
              <w:top w:type="dxa" w:w="80"/>
              <w:left w:type="dxa" w:w="100"/>
              <w:bottom w:type="dxa" w:w="80"/>
              <w:right w:type="dxa" w:w="100"/>
            </w:tcMar>
            <w:vAlign w:val="center"/>
          </w:tcPr>
          <w:p>
            <w:r>
              <w:rPr>
                <w:b/>
                <w:bCs/>
                <w:color w:val="FFFFFF"/>
                <w:sz w:val="20"/>
                <w:szCs w:val="20"/>
              </w:rPr>
              <w:t xml:space="preserve">Elemento del diagrama</w:t>
            </w:r>
          </w:p>
        </w:tc>
        <w:tc>
          <w:tcPr>
            <w:tcW w:type="pct" w:w="58%"/>
            <w:shd w:fill="1F3864" w:val="clear"/>
            <w:tcMar>
              <w:top w:type="dxa" w:w="80"/>
              <w:left w:type="dxa" w:w="100"/>
              <w:bottom w:type="dxa" w:w="80"/>
              <w:right w:type="dxa" w:w="100"/>
            </w:tcMar>
            <w:vAlign w:val="center"/>
          </w:tcPr>
          <w:p>
            <w:r>
              <w:rPr>
                <w:b/>
                <w:bCs/>
                <w:color w:val="FFFFFF"/>
                <w:sz w:val="20"/>
                <w:szCs w:val="20"/>
              </w:rPr>
              <w:t xml:space="preserve">Sección de la Architecture Baseline</w:t>
            </w:r>
          </w:p>
        </w:tc>
      </w:tr>
      <w:tr>
        <w:tc>
          <w:tcPr>
            <w:tcW w:type="pct" w:w="42%"/>
            <w:shd w:fill="F2F2F2" w:val="clear"/>
            <w:tcMar>
              <w:top w:type="dxa" w:w="80"/>
              <w:left w:type="dxa" w:w="100"/>
              <w:bottom w:type="dxa" w:w="80"/>
              <w:right w:type="dxa" w:w="100"/>
            </w:tcMar>
            <w:vAlign w:val="center"/>
          </w:tcPr>
          <w:p>
            <w:pPr>
              <w:spacing w:after="40"/>
            </w:pPr>
            <w:r>
              <w:rPr>
                <w:b w:val="false"/>
                <w:bCs w:val="false"/>
                <w:sz w:val="20"/>
                <w:szCs w:val="20"/>
              </w:rPr>
              <w:t xml:space="preserve">Catálogo de roles (Context Diagram)</w:t>
            </w:r>
          </w:p>
        </w:tc>
        <w:tc>
          <w:tcPr>
            <w:tcW w:type="pct" w:w="58%"/>
            <w:shd w:fill="F2F2F2" w:val="clear"/>
            <w:tcMar>
              <w:top w:type="dxa" w:w="80"/>
              <w:left w:type="dxa" w:w="100"/>
              <w:bottom w:type="dxa" w:w="80"/>
              <w:right w:type="dxa" w:w="100"/>
            </w:tcMar>
            <w:vAlign w:val="center"/>
          </w:tcPr>
          <w:p>
            <w:pPr>
              <w:spacing w:after="40"/>
            </w:pPr>
            <w:r>
              <w:rPr>
                <w:b w:val="false"/>
                <w:bCs w:val="false"/>
                <w:sz w:val="20"/>
                <w:szCs w:val="20"/>
              </w:rPr>
              <w:t xml:space="preserve">Sección 7 — Identity and Security</w:t>
            </w:r>
          </w:p>
        </w:tc>
      </w:tr>
      <w:tr>
        <w:tc>
          <w:tcPr>
            <w:tcW w:type="pct" w:w="42%"/>
            <w:tcMar>
              <w:top w:type="dxa" w:w="80"/>
              <w:left w:type="dxa" w:w="100"/>
              <w:bottom w:type="dxa" w:w="80"/>
              <w:right w:type="dxa" w:w="100"/>
            </w:tcMar>
            <w:vAlign w:val="center"/>
          </w:tcPr>
          <w:p>
            <w:pPr>
              <w:spacing w:after="40"/>
            </w:pPr>
            <w:r>
              <w:rPr>
                <w:b w:val="false"/>
                <w:bCs w:val="false"/>
                <w:sz w:val="20"/>
                <w:szCs w:val="20"/>
              </w:rPr>
              <w:t xml:space="preserve">Los 4 servicios + RabbitMQ (Container Diagram)</w:t>
            </w:r>
          </w:p>
        </w:tc>
        <w:tc>
          <w:tcPr>
            <w:tcW w:type="pct" w:w="58%"/>
            <w:tcMar>
              <w:top w:type="dxa" w:w="80"/>
              <w:left w:type="dxa" w:w="100"/>
              <w:bottom w:type="dxa" w:w="80"/>
              <w:right w:type="dxa" w:w="100"/>
            </w:tcMar>
            <w:vAlign w:val="center"/>
          </w:tcPr>
          <w:p>
            <w:pPr>
              <w:spacing w:after="40"/>
            </w:pPr>
            <w:r>
              <w:rPr>
                <w:b w:val="false"/>
                <w:bCs w:val="false"/>
                <w:sz w:val="20"/>
                <w:szCs w:val="20"/>
              </w:rPr>
              <w:t xml:space="preserve">Sección 3 — System Components</w:t>
            </w:r>
          </w:p>
        </w:tc>
      </w:tr>
      <w:tr>
        <w:tc>
          <w:tcPr>
            <w:tcW w:type="pct" w:w="42%"/>
            <w:shd w:fill="F2F2F2" w:val="clear"/>
            <w:tcMar>
              <w:top w:type="dxa" w:w="80"/>
              <w:left w:type="dxa" w:w="100"/>
              <w:bottom w:type="dxa" w:w="80"/>
              <w:right w:type="dxa" w:w="100"/>
            </w:tcMar>
            <w:vAlign w:val="center"/>
          </w:tcPr>
          <w:p>
            <w:pPr>
              <w:spacing w:after="40"/>
            </w:pPr>
            <w:r>
              <w:rPr>
                <w:b w:val="false"/>
                <w:bCs w:val="false"/>
                <w:sz w:val="20"/>
                <w:szCs w:val="20"/>
              </w:rPr>
              <w:t xml:space="preserve">Una base de datos por servicio, sin acceso cruzado</w:t>
            </w:r>
          </w:p>
        </w:tc>
        <w:tc>
          <w:tcPr>
            <w:tcW w:type="pct" w:w="58%"/>
            <w:shd w:fill="F2F2F2" w:val="clear"/>
            <w:tcMar>
              <w:top w:type="dxa" w:w="80"/>
              <w:left w:type="dxa" w:w="100"/>
              <w:bottom w:type="dxa" w:w="80"/>
              <w:right w:type="dxa" w:w="100"/>
            </w:tcMar>
            <w:vAlign w:val="center"/>
          </w:tcPr>
          <w:p>
            <w:pPr>
              <w:spacing w:after="40"/>
            </w:pPr>
            <w:r>
              <w:rPr>
                <w:b w:val="false"/>
                <w:bCs w:val="false"/>
                <w:sz w:val="20"/>
                <w:szCs w:val="20"/>
              </w:rPr>
              <w:t xml:space="preserve">Sección 5 — Data Ownership; Principio AP-04</w:t>
            </w:r>
          </w:p>
        </w:tc>
      </w:tr>
      <w:tr>
        <w:tc>
          <w:tcPr>
            <w:tcW w:type="pct" w:w="42%"/>
            <w:tcMar>
              <w:top w:type="dxa" w:w="80"/>
              <w:left w:type="dxa" w:w="100"/>
              <w:bottom w:type="dxa" w:w="80"/>
              <w:right w:type="dxa" w:w="100"/>
            </w:tcMar>
            <w:vAlign w:val="center"/>
          </w:tcPr>
          <w:p>
            <w:pPr>
              <w:spacing w:after="40"/>
            </w:pPr>
            <w:r>
              <w:rPr>
                <w:b w:val="false"/>
                <w:bCs w:val="false"/>
                <w:sz w:val="20"/>
                <w:szCs w:val="20"/>
              </w:rPr>
              <w:t xml:space="preserve">REST/JWT para cliente↔servicio y M2M</w:t>
            </w:r>
          </w:p>
        </w:tc>
        <w:tc>
          <w:tcPr>
            <w:tcW w:type="pct" w:w="58%"/>
            <w:tcMar>
              <w:top w:type="dxa" w:w="80"/>
              <w:left w:type="dxa" w:w="100"/>
              <w:bottom w:type="dxa" w:w="80"/>
              <w:right w:type="dxa" w:w="100"/>
            </w:tcMar>
            <w:vAlign w:val="center"/>
          </w:tcPr>
          <w:p>
            <w:pPr>
              <w:spacing w:after="40"/>
            </w:pPr>
            <w:r>
              <w:rPr>
                <w:b w:val="false"/>
                <w:bCs w:val="false"/>
                <w:sz w:val="20"/>
                <w:szCs w:val="20"/>
              </w:rPr>
              <w:t xml:space="preserve">Sección 6 — Communication Patterns; Principio AP-07</w:t>
            </w:r>
          </w:p>
        </w:tc>
      </w:tr>
      <w:tr>
        <w:tc>
          <w:tcPr>
            <w:tcW w:type="pct" w:w="42%"/>
            <w:shd w:fill="F2F2F2" w:val="clear"/>
            <w:tcMar>
              <w:top w:type="dxa" w:w="80"/>
              <w:left w:type="dxa" w:w="100"/>
              <w:bottom w:type="dxa" w:w="80"/>
              <w:right w:type="dxa" w:w="100"/>
            </w:tcMar>
            <w:vAlign w:val="center"/>
          </w:tcPr>
          <w:p>
            <w:pPr>
              <w:spacing w:after="40"/>
            </w:pPr>
            <w:r>
              <w:rPr>
                <w:b w:val="false"/>
                <w:bCs w:val="false"/>
                <w:sz w:val="20"/>
                <w:szCs w:val="20"/>
              </w:rPr>
              <w:t xml:space="preserve">Eventos vía RabbitMQ + Outbox</w:t>
            </w:r>
          </w:p>
        </w:tc>
        <w:tc>
          <w:tcPr>
            <w:tcW w:type="pct" w:w="58%"/>
            <w:shd w:fill="F2F2F2" w:val="clear"/>
            <w:tcMar>
              <w:top w:type="dxa" w:w="80"/>
              <w:left w:type="dxa" w:w="100"/>
              <w:bottom w:type="dxa" w:w="80"/>
              <w:right w:type="dxa" w:w="100"/>
            </w:tcMar>
            <w:vAlign w:val="center"/>
          </w:tcPr>
          <w:p>
            <w:pPr>
              <w:spacing w:after="40"/>
            </w:pPr>
            <w:r>
              <w:rPr>
                <w:b w:val="false"/>
                <w:bCs w:val="false"/>
                <w:sz w:val="20"/>
                <w:szCs w:val="20"/>
              </w:rPr>
              <w:t xml:space="preserve">Sección 6 y 9 — Communication Patterns / Messaging Strategy; Principios AP-05, AP-06</w:t>
            </w:r>
          </w:p>
        </w:tc>
      </w:tr>
      <w:tr>
        <w:tc>
          <w:tcPr>
            <w:tcW w:type="pct" w:w="42%"/>
            <w:tcMar>
              <w:top w:type="dxa" w:w="80"/>
              <w:left w:type="dxa" w:w="100"/>
              <w:bottom w:type="dxa" w:w="80"/>
              <w:right w:type="dxa" w:w="100"/>
            </w:tcMar>
            <w:vAlign w:val="center"/>
          </w:tcPr>
          <w:p>
            <w:pPr>
              <w:spacing w:after="40"/>
            </w:pPr>
            <w:r>
              <w:rPr>
                <w:b w:val="false"/>
                <w:bCs w:val="false"/>
                <w:sz w:val="20"/>
                <w:szCs w:val="20"/>
              </w:rPr>
              <w:t xml:space="preserve">PostgreSQL como motor en los 4 datastores</w:t>
            </w:r>
          </w:p>
        </w:tc>
        <w:tc>
          <w:tcPr>
            <w:tcW w:type="pct" w:w="58%"/>
            <w:tcMar>
              <w:top w:type="dxa" w:w="80"/>
              <w:left w:type="dxa" w:w="100"/>
              <w:bottom w:type="dxa" w:w="80"/>
              <w:right w:type="dxa" w:w="100"/>
            </w:tcMar>
            <w:vAlign w:val="center"/>
          </w:tcPr>
          <w:p>
            <w:pPr>
              <w:spacing w:after="40"/>
            </w:pPr>
            <w:r>
              <w:rPr>
                <w:b w:val="false"/>
                <w:bCs w:val="false"/>
                <w:sz w:val="20"/>
                <w:szCs w:val="20"/>
              </w:rPr>
              <w:t xml:space="preserve">Sección 8 — Persistence Strategy (D-01, aún como Decision Deferred a ratificar)</w:t>
            </w:r>
          </w:p>
        </w:tc>
      </w:tr>
    </w:tbl>
    <w:p>
      <w:pPr>
        <w:spacing w:after="160"/>
      </w:pPr>
      <w:r>
        <w:rPr>
          <w:b w:val="false"/>
          <w:bCs w:val="false"/>
          <w:i/>
          <w:iCs/>
        </w:rPr>
        <w:t xml:space="preserve">Ningún elemento de estos dos diagramas introduce una decisión nueva: es una proyección visual de decisiones ya tomadas. Si D-01 (PostgreSQL vs. SQL Server) cambia de resolución, solo se actualiza la etiqueta de tecnología en las cuatro bases del Container Diagram — la forma y las relaciones del diagrama no cambian.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ServiceDesk — Diagramas C4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00" w:before="28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070814e6909a6cc205014bf37ffa93c0868bf1.png"/><Relationship Id="rId10" Type="http://schemas.openxmlformats.org/officeDocument/2006/relationships/image" Target="media/e7b60fd5e5fa59ede2bc7d79546b52ff9704ce5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2026-09-08T21:12:35.607Z</dcterms:created>
  <dcterms:modified xsi:type="dcterms:W3CDTF">2026-09-08T21:12:35.618Z</dcterms:modified>
</cp:coreProperties>
</file>

<file path=docProps/custom.xml><?xml version="1.0" encoding="utf-8"?>
<Properties xmlns="http://schemas.openxmlformats.org/officeDocument/2006/custom-properties" xmlns:vt="http://schemas.openxmlformats.org/officeDocument/2006/docPropsVTypes"/>
</file>