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864"/>
          <w:sz w:val="56"/>
          <w:szCs w:val="56"/>
        </w:rPr>
        <w:t xml:space="preserve">ServiceDesk</w:t>
      </w:r>
    </w:p>
    <w:p>
      <w:pPr>
        <w:spacing w:after="80"/>
        <w:jc w:val="center"/>
      </w:pPr>
      <w:r>
        <w:rPr>
          <w:b/>
          <w:bCs/>
          <w:color w:val="444444"/>
          <w:sz w:val="34"/>
          <w:szCs w:val="34"/>
        </w:rPr>
        <w:t xml:space="preserve">Architecture Baseline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Línea base técnica que reconcilia alcance funcional, modelo de dominio y plan de desarrollo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ACME</w:t>
      </w:r>
    </w:p>
    <w:p>
      <w:pPr>
        <w:jc w:val="center"/>
      </w:pPr>
      <w:r>
        <w:rPr>
          <w:color w:val="666666"/>
          <w:sz w:val="20"/>
          <w:szCs w:val="20"/>
        </w:rPr>
        <w:t xml:space="preserve">Versión 0.1 | 7 de septiembre de 2026</w:t>
      </w:r>
    </w:p>
    <w:p>
      <w:r>
        <w:br w:type="page"/>
      </w:r>
    </w:p>
    <w:p>
      <w:pPr>
        <w:pStyle w:val="Heading1"/>
        <w:spacing w:after="160" w:before="400"/>
      </w:pPr>
      <w:r>
        <w:t xml:space="preserve">Control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7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ServiceDesk – Architecture Baseline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 de septiembre de 2026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Borrador para ratificación; contiene decisiones diferidas explícitas (sección 13)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Origen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ServiceDesk_Feature_Baseline v1.0; ServiceDesk_OOAD_TicketService v0.2; ServiceDesk_Plan_Desarrollo_MVP v1.0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Propósito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Fijar la estructura técnica (componentes, datos, comunicación, seguridad, persistencia, mensajería, despliegue) sobre la cual se implementa el MVP, reconciliando contradicciones detectadas entre los documentos de origen.</w:t>
            </w:r>
          </w:p>
        </w:tc>
      </w:tr>
    </w:tbl>
    <w:p>
      <w:pPr>
        <w:pStyle w:val="Heading1"/>
        <w:spacing w:after="160" w:before="400"/>
      </w:pPr>
      <w:r>
        <w:t xml:space="preserve">1. Purpose and Scope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Esta baseline fija la arquitectura técnica del ServiceDesk MVP a partir de tres documentos ya aprobados por separado: el alcance funcional (Feature Baseline v1.0), el modelo de dominio del Ticket Service (OOA&amp;D v0.2) y el plan técnico de construcción (Plan de Desarrollo MVP v1.0). Estos documentos no se escribieron de forma sincronizada entre sí, por lo que esta baseline también cumple una función de reconciliación: donde dos documentos entran en conflicto en un mismo tema técnico, esta baseline declara cuál aplica y marca el resto como decisión pendiente (sección 13).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Alcance: componentes del sistema, propiedad de datos, patrones de comunicación, identidad y seguridad, persistencia, mensajería, integración de frontend, modelo de despliegue y restricciones arquitectónicas.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Fuera de alcance de este documento: reglas de negocio y comportamiento del dominio (cubiertas en OOA&amp;D), historias de usuario y criterios de aceptación (cubiertos en el backlog derivado del Feature Baseline), y contratos de API endpoint por endpoint (se definen durante la implementación, dentro de los patrones que aquí se fijan).</w:t>
      </w:r>
    </w:p>
    <w:p>
      <w:pPr>
        <w:pStyle w:val="Heading1"/>
        <w:spacing w:after="160" w:before="400"/>
      </w:pPr>
      <w:r>
        <w:t xml:space="preserve">2. Architecture Principles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Cada principio es trazable a una regla funcional (RF-xx), un invariante de dominio (OOA&amp;D) o una restricción ya aprobada del Plan de Desarrollo. Ningún principio se introduce aquí por primera vez sin respaldo en un documento previo.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pct" w:w="2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AP-01</w:t>
            </w:r>
          </w:p>
        </w:tc>
        <w:tc>
          <w:tcPr>
            <w:tcW w:type="pct" w:w="6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Human-in-the-loop: ninguna recomendación de IA modifica el ticket sin una acción humana explícita.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RF-06; invariante OOA&amp;D §2.5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AP-02</w:t>
            </w:r>
          </w:p>
        </w:tc>
        <w:tc>
          <w:tcPr>
            <w:tcW w:type="pct" w:w="6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Ownership visible y trazable: todo ticket activo tiene un equipo responsable, y todo cambio relevante queda en el historial.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RF-01, RF-03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AP-03</w:t>
            </w:r>
          </w:p>
        </w:tc>
        <w:tc>
          <w:tcPr>
            <w:tcW w:type="pct" w:w="6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Transferencia formal de responsabilidad: el ownership de equipo solo cambia cuando el equipo receptor acepta explícitamente un handoff.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RF-02; invariante OOA&amp;D §2.5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AP-04</w:t>
            </w:r>
          </w:p>
        </w:tc>
        <w:tc>
          <w:tcPr>
            <w:tcW w:type="pct" w:w="6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Aislamiento de datos por servicio: cada servicio es dueño exclusivo de su esquema; ningún servicio consulta tablas privadas de otro.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de Desarrollo §4, §9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AP-05</w:t>
            </w:r>
          </w:p>
        </w:tc>
        <w:tc>
          <w:tcPr>
            <w:tcW w:type="pct" w:w="6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Comunicación desacoplada por eventos: la integración entre servicios usa eventos versionables sobre RabbitMQ, no llamadas síncronas para flujo de negocio asíncrono.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de Desarrollo §4, §9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AP-06</w:t>
            </w:r>
          </w:p>
        </w:tc>
        <w:tc>
          <w:tcPr>
            <w:tcW w:type="pct" w:w="6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Consistencia local, eventual entre servicios: el patrón Outbox garantiza persistencia atómica de agregado + evento; los consumidores deben ser idempotentes.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de Desarrollo §9, §13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AP-07</w:t>
            </w:r>
          </w:p>
        </w:tc>
        <w:tc>
          <w:tcPr>
            <w:tcW w:type="pct" w:w="6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 por defecto: toda operación protegida exige autenticación y autorización explícita, incluida la comunicación M2M.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RF-07; Plan de Desarrollo §8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AP-08</w:t>
            </w:r>
          </w:p>
        </w:tc>
        <w:tc>
          <w:tcPr>
            <w:tcW w:type="pct" w:w="6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Simplicidad proporcional al objetivo de aprendizaje: se evita complejidad de plataforma empresarial que no aporte al objetivo demostrable del MVP.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de Desarrollo §3; Feature Baseline §5</w:t>
            </w:r>
          </w:p>
        </w:tc>
      </w:tr>
      <w:tr>
        <w:tc>
          <w:tcPr>
            <w:tcW w:type="pct" w:w="1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AP-09</w:t>
            </w:r>
          </w:p>
        </w:tc>
        <w:tc>
          <w:tcPr>
            <w:tcW w:type="pct" w:w="6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Cambios de arquitectura controlados: toda decisión que cambie un componente, patrón de comunicación o tecnología base actualiza esta baseline.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Analogía directa con el control de cambios del Feature Baseline §7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3. System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 / rol</w:t>
            </w:r>
          </w:p>
        </w:tc>
        <w:tc>
          <w:tcPr>
            <w:tcW w:type="pct" w:w="4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Service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ASP.NET Core + ASP.NET Identity + EF Core</w:t>
            </w:r>
          </w:p>
        </w:tc>
        <w:tc>
          <w:tcPr>
            <w:tcW w:type="pct" w:w="4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Usuarios internos de ACME, credenciales, roles, emisión/validación de JWT para usuarios y service identities.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Service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ASP.NET Core Web API + EF Core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Dominio principal: aggregate Ticket, lifecycle, clasificación, ownership, asignación, handoff, historial, catálogos y AiRecommendation.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Agent Service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.NET Worker/API + Agent runtime</w:t>
            </w:r>
          </w:p>
        </w:tc>
        <w:tc>
          <w:tcPr>
            <w:tcW w:type="pct" w:w="4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Triage Agent, Escalation Validation Agent, Similar Case Assistant; consume eventos, usa tools autorizadas contra Ticket Service.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Reporting Service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.NET API/Worker + read model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Consume eventos de integración y mantiene métricas operativas básicas, sin leer la base de datos del Ticket Service.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RabbitMQ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broker</w:t>
            </w:r>
          </w:p>
        </w:tc>
        <w:tc>
          <w:tcPr>
            <w:tcW w:type="pct" w:w="4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Transporte de eventos de integración entre Ticket, AI Agent y Reporting.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 de base de datos relacional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Decision Deferred D-01 (sección 13)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Persistencia de bases lógicas separadas por servicio (Identity, Ticket, Reporting).</w:t>
            </w:r>
          </w:p>
        </w:tc>
      </w:tr>
    </w:tbl>
    <w:p>
      <w:pPr>
        <w:pStyle w:val="Heading1"/>
        <w:spacing w:after="160" w:before="400"/>
      </w:pPr>
      <w:r>
        <w:t xml:space="preserve">4. Service Responsibilities</w:t>
      </w:r>
    </w:p>
    <w:p>
      <w:pPr>
        <w:pStyle w:val="Heading2"/>
        <w:spacing w:after="100" w:before="280"/>
      </w:pPr>
      <w:r>
        <w:t xml:space="preserve">4.1 Ticket Service — dominio principal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Dueño del aggregate Ticket y de sus entidades hijas (Handoff, TicketComment, TicketHistoryEntry), consistentes con OOA&amp;D v0.2. También persiste AiRecommendation como aggregate independiente dentro de su propio esquema: aunque la recomendación la produce AI Agent Service, se escribe exclusivamente a través de la API de Ticket Service, nunca por acceso directo a base de datos — esto mantiene el aislamiento de AP-04 sin violar la separación de responsabilidades entre agregados.</w:t>
      </w:r>
    </w:p>
    <w:p>
      <w:pPr>
        <w:pStyle w:val="Heading2"/>
        <w:spacing w:after="100" w:before="280"/>
      </w:pPr>
      <w:r>
        <w:t xml:space="preserve">4.2 AI Agent Service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Ejecuta el Triage Agent, el Escalation Validation Agent y el Similar Case Assistant. Consulta a Ticket Service mediante tools/API autorizadas (GetTicket, GetCategories, GetTeams, SearchSimilarTickets) y nunca accede a su base de datos directamente. Mantiene su propio registro de auditoría de invocaciones (prompt, tokens, tiempos, resultado) — ver nota en Data Ownership sobre por qué esto es distinto de la tabla AiRecommendation.</w:t>
      </w:r>
    </w:p>
    <w:p>
      <w:pPr>
        <w:pStyle w:val="Heading2"/>
        <w:spacing w:after="100" w:before="280"/>
      </w:pPr>
      <w:r>
        <w:t xml:space="preserve">4.3 Identity Service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Gestiona usuarios internos de ACME (no existen usuarios externos, por OOA&amp;D §2.2), sus roles y credenciales, y emite JWT tanto para usuarios como para identidades de servicio (M2M) usadas por AI Agent Service y Reporting Service.</w:t>
      </w:r>
    </w:p>
    <w:p>
      <w:pPr>
        <w:pStyle w:val="Heading2"/>
        <w:spacing w:after="100" w:before="280"/>
      </w:pPr>
      <w:r>
        <w:t xml:space="preserve">4.4 Reporting Service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Mantiene un read model de métricas operativas (volumen, backlog, tiempos, agrupaciones por equipo/categoría/prioridad/estado) construido exclusivamente a partir de eventos de integración publicados por Ticket Service.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5. Data Ownership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pct" w:w="4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 que posee</w:t>
            </w:r>
          </w:p>
        </w:tc>
        <w:tc>
          <w:tcPr>
            <w:tcW w:type="pct" w:w="3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 de acceso cruzado</w:t>
            </w:r>
          </w:p>
        </w:tc>
      </w:tr>
      <w:tr>
        <w:tc>
          <w:tcPr>
            <w:tcW w:type="pct" w:w="2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Service</w:t>
            </w:r>
          </w:p>
        </w:tc>
        <w:tc>
          <w:tcPr>
            <w:tcW w:type="pct" w:w="4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Usuarios, credenciales, roles, claims de service identity.</w:t>
            </w:r>
          </w:p>
        </w:tc>
        <w:tc>
          <w:tcPr>
            <w:tcW w:type="pct" w:w="3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Ningún otro servicio lee esta base directamente; Ticket Service mantiene una copia local (UserReference) sincronizada, no una consulta en vivo.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Service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Ticket, TicketClassification, Handoff, TicketComment, TicketHistoryEntry, AiRecommendation, Team, Category, Subcategory, UserReference (copia local), OutboxMessage.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Agent Service y Reporting Service acceden únicamente vía API/eventos, nunca por SQL directo (AP-04).</w:t>
            </w:r>
          </w:p>
        </w:tc>
      </w:tr>
      <w:tr>
        <w:tc>
          <w:tcPr>
            <w:tcW w:type="pct" w:w="2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Agent Service</w:t>
            </w:r>
          </w:p>
        </w:tc>
        <w:tc>
          <w:tcPr>
            <w:tcW w:type="pct" w:w="4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propio de auditoría de invocaciones (prompt, tokens, tiempo de respuesta, resultado de la tool call).</w:t>
            </w:r>
          </w:p>
        </w:tc>
        <w:tc>
          <w:tcPr>
            <w:tcW w:type="pct" w:w="3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registro es distinto de AiRecommendation: audita la ejecución del agente, no la recomendación de dominio en sí, que vive en Ticket Service.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Reporting Service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model de métricas derivado de eventos.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reconstruye desde el log de eventos si es necesario; nunca consulta la base transaccional de Ticket Service.</w:t>
            </w:r>
          </w:p>
        </w:tc>
      </w:tr>
    </w:tbl>
    <w:p>
      <w:pPr>
        <w:shd w:fill="FFF2CC" w:val="clear"/>
        <w:spacing w:after="160" w:before="80"/>
      </w:pPr>
      <w:r>
        <w:rPr>
          <w:b/>
          <w:bCs/>
        </w:rPr>
        <w:t xml:space="preserve">⚠ </w:t>
      </w:r>
      <w:r>
        <w:rPr>
          <w:b/>
          <w:bCs/>
        </w:rPr>
        <w:t xml:space="preserve">Nota de reconciliación: el Plan de Desarrollo (§4) asigna a AI Agent Service la responsabilidad de "registro de recomendaciones", mientras que su propia lista de tablas EF (§7) ubica AiRecommendation junto a las tablas de Ticket Service. Esta baseline resuelve la aparente contradicción interpretando que AiRecommendation es de Ticket Service (consistente con OOA&amp;D) y que la responsabilidad de AI Agent Service se refiere a su propio log de auditoría de ejecución — no a la misma tabla.</w:t>
      </w:r>
    </w:p>
    <w:p>
      <w:pPr>
        <w:pStyle w:val="Heading1"/>
        <w:spacing w:after="160" w:before="400"/>
      </w:pPr>
      <w:r>
        <w:t xml:space="preserve">6. Communication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pct" w:w="3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  <w:tc>
          <w:tcPr>
            <w:tcW w:type="pct" w:w="4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Síncrono cliente → servicio</w:t>
            </w:r>
          </w:p>
        </w:tc>
        <w:tc>
          <w:tcPr>
            <w:tcW w:type="pct" w:w="3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Login, comandos y consultas iniciadas por un usuario o cliente API.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+ JWT; toda operación protegida exige autenticación (AP-07).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Síncrono servicio → servicio (M2M)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Agent Service consulta contexto de un ticket o escribe una AiRecommendation.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Tools/API autenticadas con identidad de servicio; nunca acceso a base de datos ajena (AP-04).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Asíncrono basado en eventos</w:t>
            </w:r>
          </w:p>
        </w:tc>
        <w:tc>
          <w:tcPr>
            <w:tcW w:type="pct" w:w="3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Propagación de hechos de dominio entre Ticket, AI Agent y Reporting (TicketCreated, TicketAssigned, HandoffRequested, HandoffAccepted, TicketResolved, TicketClosed, TicketReopened).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RabbitMQ + Transactional Outbox; contratos versionables, independientes de las entidades EF; consumidores idempotentes (AP-05, AP-06).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Prohibido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Cualquier lectura o escritura directa entre bases de datos de distintos servicios.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Viola AP-04 sin excepción, incluida la lectura de solo consulta.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7. Identity and Security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catálogo de roles de esta baseline adopta el de Feature Baseline v1.0 (fuente de verdad de alcance), reconciliando los nombres técnicos usados en el Plan de Desarrollo: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(Feature Baseline)</w:t>
            </w:r>
          </w:p>
        </w:tc>
        <w:tc>
          <w:tcPr>
            <w:tcW w:type="pct" w:w="4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técnico equivalente (Plan de Desarrollo)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Requester / Employee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Requester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Alineado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Agent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ServiceDeskAgent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Alineado — se adopta el nombre funcional "Support Agent" y ServiceDeskAgent como policy/claim técnico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L2 Specialist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L2Agent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Alineado — mismo criterio que el anterior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(no existe en Plan de Desarrollo)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Decision Deferred D-02</w:t>
            </w:r>
          </w:p>
        </w:tc>
      </w:tr>
      <w:tr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3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Alineado</w:t>
            </w:r>
          </w:p>
        </w:tc>
      </w:tr>
    </w:tbl>
    <w:p>
      <w:pPr>
        <w:pStyle w:val="Heading2"/>
        <w:spacing w:after="100" w:before="280"/>
      </w:pPr>
      <w:r>
        <w:t xml:space="preserve">7.1 Autenticación y autorización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Authentication: ASP.NET Core Identity + emisión y expiración de JWT propio, sin proveedor OAuth/OIDC completo (decisión ya fijada en Plan de Desarrollo §8).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Policies: CanCreateTicket, CanTriageTicket, CanRequestHandoff, CanAcceptHandoff, CanCloseTicket, CanViewSensitiveTicket, CanManageCatalogs; policies de Supervisor pendientes de definir (D-02).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 authorization: AuthorizationHandler valida ownership de equipo, sensibilidad del ticket (FB-09) y pertenencia del agente al equipo receptor.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M2M: AI Agent Service y Reporting Service operan con identidad de servicio y claims mínimos, nunca con credenciales de usuario.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Casos negativos obligatorios: 401 sin autenticación, 403 sin autorización, ticket sensible inaccesible por ID a un rol no autorizado.</w:t>
      </w:r>
    </w:p>
    <w:p>
      <w:pPr>
        <w:pStyle w:val="Heading1"/>
        <w:spacing w:after="160" w:before="400"/>
      </w:pPr>
      <w:r>
        <w:t xml:space="preserve">8. Persistence Strategy</w:t>
      </w:r>
    </w:p>
    <w:p>
      <w:pPr>
        <w:shd w:fill="FFF2CC" w:val="clear"/>
        <w:spacing w:after="160" w:before="80"/>
      </w:pPr>
      <w:r>
        <w:rPr>
          <w:b/>
          <w:bCs/>
        </w:rPr>
        <w:t xml:space="preserve">⚠ </w:t>
      </w:r>
      <w:r>
        <w:rPr>
          <w:b/>
          <w:bCs/>
        </w:rPr>
        <w:t xml:space="preserve">El motor de base de datos se marca como Decision Deferred (D-01): el Plan de Desarrollo especifica SQL Server en cinco menciones distintas (arquitectura, EF Core, docker-compose); Feature Baseline v1.0, posterior y declarada como fuente de alcance, especifica PostgreSQL. Esta baseline documenta el modelo de datos de forma independiente del motor elegido y usa PostgreSQL como supuesto de trabajo hasta su ratificación formal.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First con EF Core; migrations versionadas en el repositorio.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base lógica separada por servicio (Identity, Ticket, Reporting), consistente con AP-04.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Modelo del Ticket Service (OOA&amp;D v0.2): Ticket (aggregate root), TicketClassification (value object: ServiceArea, CategoryId, SubcategoryId, ConfigurationItemReference opcional), Handoff, TicketComment, TicketHistoryEntry, AiRecommendation (aggregate independiente), Team, Category, Subcategory, UserReference (copia local sincronizada).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Optimistic concurrency vía RowVersion en Ticket; manejo explícito de DbUpdateConcurrencyException.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AsNoTracking para consultas de lectura; proyecciones para listados de colas y búsqueda; paginación en listados de tickets.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9. Messaging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RabbitMQ como broker único, en Docker para entorno local y staging.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Transactional Outbox: el aggregate y su OutboxMessage se persisten en la misma transacción; un BackgroundService publica después de forma asíncrona.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Contratos de eventos de integración versionables, definidos como tipos propios — nunca se serializan entidades EF directamente.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Idempotencia obligatoria en Reporting Service y AI Agent Service ante recepción repetida del mismo evento.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Aislamiento de fallos: si AI Agent Service o RabbitMQ no responden, el flujo principal (crear, clasificar manualmente, asignar, handoff, resolver, cerrar) continúa sin bloquearse (AP-08, DoD del Plan de Desarrollo).</w:t>
      </w:r>
    </w:p>
    <w:p>
      <w:pPr>
        <w:pStyle w:val="Heading1"/>
        <w:spacing w:after="160" w:before="400"/>
      </w:pPr>
      <w:r>
        <w:t xml:space="preserve">10. Frontend Integration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React no es un criterio de cierre del MVP v1.0; Swagger/Scalar o Postman son suficientes para validar el backend (Plan de Desarrollo §3). Si se agrega un frontend, esta baseline ya fija sus reglas de integración: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Consume exclusivamente los contratos API definidos por cada servicio — nunca accede a base de datos directamente.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autentica contra Identity Service con el mismo esquema JWT que cualquier otro cliente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introduce lógica de negocio propia: las reglas de transición, ownership y validación de handoff viven en Ticket Service, no en el cliente.</w:t>
      </w:r>
    </w:p>
    <w:p>
      <w:pPr>
        <w:pStyle w:val="Heading1"/>
        <w:spacing w:after="160" w:before="400"/>
      </w:pPr>
      <w:r>
        <w:t xml:space="preserve">11. Deployment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Monorepo con cuatro servicios de aplicación (src/IdentityService, TicketService, AiAgentService, ReportingService) y solución .NET única.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Dockerfile multi-stage por servicio: SDK para build/publish, runtime ASP.NET para la imagen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docker-compose.yml para el stack completo (los 4 servicios + motor de base de datos + RabbitMQ); docker-compose.override.yml para configuración local.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 (GitHub Actions): build + unit tests en cada push; integration tests + build de imágenes Docker en Pull Request a main.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CD: merge a main construye y publica imágenes a GitHub Container Registry, luego despliega a una VM Linux de staging con Docker Compose vía SSH o runner controlado (mecanismo exacto: ver D-10).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checks (/health) por servicio, usados tanto por Docker Compose como por el pipeline de CD para validar el despliegue.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12. Architecture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 Kubernetes, Helm, Terraform, service mesh, ni estrategias de despliegue blue/green o canary.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 integración automática con correo, Microsoft Teams o telefonía para creación de tickets.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 CMDB ni integración de inventario formal — solo ConfigurationItemReference como referencia ligera dentro de Ticket 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 motor de SLA/OLA configurable ni dashboards ejecutivos.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Ningún endpoint puede permitir que AI Agent Service aplique cambios directamente sobre el aggregate Ticket sin pasar por una acción humana explícita — esta es una restricción arquitectónica, no solo de producto (AP-01).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Ningún servicio accede a la base de datos de otro servicio, ni siquiera en modo de solo lectura (AP-04).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 vector database ni RAG en el MVP: Similar Case Assistant inicia con búsqueda SQL/textual sobre datos ya existentes en Ticket Service.</w:t>
      </w:r>
    </w:p>
    <w:p>
      <w:pPr>
        <w:pStyle w:val="Heading1"/>
        <w:spacing w:after="160" w:before="400"/>
      </w:pPr>
      <w:r>
        <w:t xml:space="preserve">13. Decisions Deferred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Estas decisiones deben resolverse antes de congelar la implementación de los componentes que dependen de ellas. Ninguna bloquea el inicio de Foundation/CI (Iteraciones 1-2 del roadmap), pero varias sí bloquean Ticket Domain (Iteración 4) en adelante.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5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pct" w:w="4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está abierta</w:t>
            </w:r>
          </w:p>
        </w:tc>
      </w:tr>
      <w:tr>
        <w:tc>
          <w:tcPr>
            <w:tcW w:type="pct" w:w="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D-01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 de persistencia: PostgreSQL vs. SQL Server.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Contradicción activa entre Plan de Desarrollo (SQL Server) y Feature Baseline (PostgreSQL); determina Dockerfile, compose y proveedor EF Core.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D-02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Policies de autorización para el rol Supervisor.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Baseline agrega el rol pero ningún documento define sus policies concretas.</w:t>
            </w:r>
          </w:p>
        </w:tc>
      </w:tr>
      <w:tr>
        <w:tc>
          <w:tcPr>
            <w:tcW w:type="pct" w:w="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D-03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Asignación de agente al aceptar un handoff (automática vs. cola del equipo).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Abierta desde OOA&amp;D v0.2, pendiente para el Issue #5.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D-04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Límite de redirecciones de handoff antes de resolverse.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Abierta desde OOA&amp;D v0.2, pendiente para el Issue #5.</w:t>
            </w:r>
          </w:p>
        </w:tc>
      </w:tr>
      <w:tr>
        <w:tc>
          <w:tcPr>
            <w:tcW w:type="pct" w:w="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D-05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Mecanismo y plazo de cierre por ausencia de objeción del requester.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Abierta desde OOA&amp;D v0.2, pendiente para el Issue #5.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D-06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Catálogo congelado de ServiceArea/Category/Subcategory.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Abierta desde OOA&amp;D v0.2, pendiente para el Issue #5.</w:t>
            </w:r>
          </w:p>
        </w:tc>
      </w:tr>
      <w:tr>
        <w:tc>
          <w:tcPr>
            <w:tcW w:type="pct" w:w="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D-07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Reglas de qué categorías/handoffs exigen ConfigurationItemReference.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Abierta desde OOA&amp;D v0.2, pendiente para el Issue #5.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D-08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Validación de membresía agente–equipo: referencia local vs. consulta a Identity Service.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Abierta desde OOA&amp;D v0.2, pendiente para el Issue #5.</w:t>
            </w:r>
          </w:p>
        </w:tc>
      </w:tr>
      <w:tr>
        <w:tc>
          <w:tcPr>
            <w:tcW w:type="pct" w:w="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D-09</w:t>
            </w:r>
          </w:p>
        </w:tc>
        <w:tc>
          <w:tcPr>
            <w:tcW w:type="pct" w:w="5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Estructura definitiva del log de auditoría de AI Agent Service.</w:t>
            </w:r>
          </w:p>
        </w:tc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se especifica en ningún documento de origen; solo se infiere de la separación con AiRecommendation.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D-10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Mecanismo exacto de despliegue a staging (SSH directo vs. runner controlado).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Dejada abierta explícitamente por el Plan de Desarrollo §12.2.</w:t>
            </w:r>
          </w:p>
        </w:tc>
      </w:tr>
    </w:tbl>
    <w:p>
      <w:pPr>
        <w:pStyle w:val="Heading1"/>
        <w:spacing w:after="160" w:before="400"/>
      </w:pPr>
      <w:r>
        <w:t xml:space="preserve">Próximos pasos sugeridos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Ratificar D-01 y D-02 antes de la Iteración 3 (Identity), porque ambas afectan el modelo de autorización y la configuración de infraestructura desde el inicio.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Resolver D-03 a D-08 en el Issue #5, en conjunto con el resto de decisiones abiertas de dominio ya identificadas en OOA&amp;D v0.2.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Registrar D-09 y D-10 como issues técnicos propios si no existen aún, siguiendo la misma numeración secuencial del proyecto.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Actualizar esta baseline (versión 0.2) en cuanto se resuelva cualquiera de las diez decisiones diferidas, antes de iniciar el componente que depende de ella.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ServiceDesk — Architecture Baseline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2026-09-07T22:43:48.070Z</dcterms:created>
  <dcterms:modified xsi:type="dcterms:W3CDTF">2026-09-07T22:43:48.083Z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