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120"/>
      </w:pPr>
      <w:r>
        <w:rPr>
          <w:rFonts w:ascii="Cambria" w:hAnsi="Cambria"/>
          <w:b/>
          <w:color w:val="17365D"/>
          <w:sz w:val="60"/>
        </w:rPr>
        <w:t>ServiceDesk</w:t>
      </w:r>
    </w:p>
    <w:p>
      <w:pPr>
        <w:spacing w:after="240"/>
      </w:pPr>
      <w:r>
        <w:rPr>
          <w:rFonts w:ascii="Cambria" w:hAnsi="Cambria"/>
          <w:b/>
          <w:color w:val="1F4E79"/>
          <w:sz w:val="44"/>
        </w:rPr>
        <w:t>Feature Baseline v1.0</w:t>
      </w:r>
    </w:p>
    <w:p>
      <w:pPr>
        <w:spacing w:after="560"/>
      </w:pPr>
      <w:r>
        <w:rPr>
          <w:rFonts w:ascii="Cambria" w:hAnsi="Cambria"/>
          <w:color w:val="5B6B7A"/>
          <w:sz w:val="28"/>
        </w:rPr>
        <w:t>Línea base funcional del MVP</w:t>
      </w:r>
    </w:p>
    <w:p>
      <w:pPr>
        <w:spacing w:after="520"/>
        <w:pBdr>
          <w:bottom w:val="single" w:sz="18" w:space="1" w:color="1F4E79"/>
        </w:pBdr>
      </w:pPr>
    </w:p>
    <w:p>
      <w:pPr>
        <w:spacing w:after="100"/>
      </w:pPr>
      <w:r>
        <w:rPr>
          <w:rFonts w:ascii="Cambria" w:hAnsi="Cambria"/>
          <w:b/>
          <w:color w:val="17365D"/>
          <w:sz w:val="22"/>
        </w:rPr>
        <w:t xml:space="preserve">Cliente: </w:t>
      </w:r>
      <w:r>
        <w:rPr>
          <w:rFonts w:ascii="Cambria" w:hAnsi="Cambria"/>
          <w:color w:val="222222"/>
          <w:sz w:val="22"/>
        </w:rPr>
        <w:t>ACME</w:t>
      </w:r>
    </w:p>
    <w:p>
      <w:pPr>
        <w:spacing w:after="100"/>
      </w:pPr>
      <w:r>
        <w:rPr>
          <w:rFonts w:ascii="Cambria" w:hAnsi="Cambria"/>
          <w:b/>
          <w:color w:val="17365D"/>
          <w:sz w:val="22"/>
        </w:rPr>
        <w:t xml:space="preserve">Documento: </w:t>
      </w:r>
      <w:r>
        <w:rPr>
          <w:rFonts w:ascii="Cambria" w:hAnsi="Cambria"/>
          <w:color w:val="222222"/>
          <w:sz w:val="22"/>
        </w:rPr>
        <w:t>ServiceDesk – Feature Baseline v1.0</w:t>
      </w:r>
    </w:p>
    <w:p>
      <w:pPr>
        <w:spacing w:after="100"/>
      </w:pPr>
      <w:r>
        <w:rPr>
          <w:rFonts w:ascii="Cambria" w:hAnsi="Cambria"/>
          <w:b/>
          <w:color w:val="17365D"/>
          <w:sz w:val="22"/>
        </w:rPr>
        <w:t xml:space="preserve">Versión: </w:t>
      </w:r>
      <w:r>
        <w:rPr>
          <w:rFonts w:ascii="Cambria" w:hAnsi="Cambria"/>
          <w:color w:val="222222"/>
          <w:sz w:val="22"/>
        </w:rPr>
        <w:t>1.0</w:t>
      </w:r>
    </w:p>
    <w:p>
      <w:pPr>
        <w:spacing w:after="100"/>
      </w:pPr>
      <w:r>
        <w:rPr>
          <w:rFonts w:ascii="Cambria" w:hAnsi="Cambria"/>
          <w:b/>
          <w:color w:val="17365D"/>
          <w:sz w:val="22"/>
        </w:rPr>
        <w:t xml:space="preserve">Fecha: </w:t>
      </w:r>
      <w:r>
        <w:rPr>
          <w:rFonts w:ascii="Cambria" w:hAnsi="Cambria"/>
          <w:color w:val="222222"/>
          <w:sz w:val="22"/>
        </w:rPr>
        <w:t>03 de septiembre de 2026</w:t>
      </w:r>
    </w:p>
    <w:p>
      <w:pPr>
        <w:spacing w:after="100"/>
      </w:pPr>
      <w:r>
        <w:rPr>
          <w:rFonts w:ascii="Cambria" w:hAnsi="Cambria"/>
          <w:b/>
          <w:color w:val="17365D"/>
          <w:sz w:val="22"/>
        </w:rPr>
        <w:t xml:space="preserve">Estado: </w:t>
      </w:r>
      <w:r>
        <w:rPr>
          <w:rFonts w:ascii="Cambria" w:hAnsi="Cambria"/>
          <w:color w:val="222222"/>
          <w:sz w:val="22"/>
        </w:rPr>
        <w:t>Baseline de alcance para desarrollo</w:t>
      </w:r>
    </w:p>
    <w:p>
      <w:pPr>
        <w:spacing w:before="700"/>
      </w:pPr>
      <w:r>
        <w:rPr>
          <w:rFonts w:ascii="Cambria" w:hAnsi="Cambria"/>
          <w:b/>
          <w:color w:val="17365D"/>
          <w:sz w:val="22"/>
        </w:rPr>
        <w:t>Propósito</w:t>
      </w:r>
    </w:p>
    <w:p>
      <w:pPr>
        <w:spacing w:after="0"/>
      </w:pPr>
      <w:r>
        <w:rPr>
          <w:rFonts w:ascii="Cambria" w:hAnsi="Cambria"/>
          <w:color w:val="222222"/>
          <w:sz w:val="22"/>
        </w:rPr>
        <w:t>Congelar las capacidades funcionales que forman el MVP v1.0 y controlar cualquier cambio posterior de alcance.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8"/>
          </w:tcPr>
          <w:p>
            <w:r/>
            <w:r>
              <w:rPr>
                <w:rFonts w:ascii="Cambria" w:hAnsi="Cambria"/>
                <w:b/>
                <w:color w:val="17365D"/>
                <w:sz w:val="21"/>
              </w:rPr>
              <w:t>Documento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Cambria" w:hAnsi="Cambria"/>
                <w:b w:val="0"/>
                <w:color w:val="222222"/>
                <w:sz w:val="21"/>
              </w:rPr>
              <w:t>ServiceDesk – Feature Baseline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8"/>
          </w:tcPr>
          <w:p>
            <w:r/>
            <w:r>
              <w:rPr>
                <w:rFonts w:ascii="Cambria" w:hAnsi="Cambria"/>
                <w:b/>
                <w:color w:val="17365D"/>
                <w:sz w:val="21"/>
              </w:rPr>
              <w:t>Versión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Cambria" w:hAnsi="Cambria"/>
                <w:b w:val="0"/>
                <w:color w:val="222222"/>
                <w:sz w:val="21"/>
              </w:rPr>
              <w:t>1.0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8"/>
          </w:tcPr>
          <w:p>
            <w:r/>
            <w:r>
              <w:rPr>
                <w:rFonts w:ascii="Cambria" w:hAnsi="Cambria"/>
                <w:b/>
                <w:color w:val="17365D"/>
                <w:sz w:val="21"/>
              </w:rPr>
              <w:t>Fecha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Cambria" w:hAnsi="Cambria"/>
                <w:b w:val="0"/>
                <w:color w:val="222222"/>
                <w:sz w:val="21"/>
              </w:rPr>
              <w:t>03/09/2026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8"/>
          </w:tcPr>
          <w:p>
            <w:r/>
            <w:r>
              <w:rPr>
                <w:rFonts w:ascii="Cambria" w:hAnsi="Cambria"/>
                <w:b/>
                <w:color w:val="17365D"/>
                <w:sz w:val="21"/>
              </w:rPr>
              <w:t>Estado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Cambria" w:hAnsi="Cambria"/>
                <w:b w:val="0"/>
                <w:color w:val="222222"/>
                <w:sz w:val="21"/>
              </w:rPr>
              <w:t>Baseline de alcance para desarrollo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8"/>
          </w:tcPr>
          <w:p>
            <w:r/>
            <w:r>
              <w:rPr>
                <w:rFonts w:ascii="Cambria" w:hAnsi="Cambria"/>
                <w:b/>
                <w:color w:val="17365D"/>
                <w:sz w:val="21"/>
              </w:rPr>
              <w:t>Origen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Cambria" w:hAnsi="Cambria"/>
                <w:b w:val="0"/>
                <w:color w:val="222222"/>
                <w:sz w:val="21"/>
              </w:rPr>
              <w:t>Alcance funcional del MVP; Requerimientos Candidatos v0.1; Análisis OOA&amp;D Ticket Service v0.1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EF4F8"/>
          </w:tcPr>
          <w:p>
            <w:r/>
            <w:r>
              <w:rPr>
                <w:rFonts w:ascii="Cambria" w:hAnsi="Cambria"/>
                <w:b/>
                <w:color w:val="17365D"/>
                <w:sz w:val="21"/>
              </w:rPr>
              <w:t>Propósito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Cambria" w:hAnsi="Cambria"/>
                <w:b w:val="0"/>
                <w:color w:val="222222"/>
                <w:sz w:val="21"/>
              </w:rPr>
              <w:t>Definir qué capacidades funcionales construirá el MVP v1.0 y qué capacidades quedan fuera.</w:t>
            </w:r>
          </w:p>
        </w:tc>
      </w:tr>
    </w:tbl>
    <w:p>
      <w:pPr>
        <w:pStyle w:val="Heading1"/>
      </w:pPr>
      <w:r>
        <w:t>1. Propósito y uso de la baseline</w:t>
      </w:r>
    </w:p>
    <w:p>
      <w:pPr>
        <w:spacing w:after="120" w:line="259" w:lineRule="auto"/>
      </w:pPr>
      <w:r>
        <w:rPr>
          <w:rFonts w:ascii="Cambria" w:hAnsi="Cambria"/>
          <w:color w:val="222222"/>
          <w:sz w:val="23"/>
        </w:rPr>
        <w:t>Este documento define la línea base funcional del ServiceDesk MVP v1.0. Su contenido establece las capacidades que el equipo construirá y validará antes del release.</w:t>
      </w:r>
    </w:p>
    <w:p>
      <w:pPr>
        <w:spacing w:after="120" w:line="259" w:lineRule="auto"/>
      </w:pPr>
      <w:r>
        <w:rPr>
          <w:rFonts w:ascii="Cambria" w:hAnsi="Cambria"/>
          <w:color w:val="222222"/>
          <w:sz w:val="23"/>
        </w:rPr>
        <w:t>El backlog debe descomponer estas features en historias, tareas y criterios de aceptación. La arquitectura y las decisiones técnicas no amplían el alcance funcional por sí mismas.</w:t>
      </w:r>
    </w:p>
    <w:p>
      <w:pPr>
        <w:spacing w:before="160" w:after="200"/>
      </w:pPr>
      <w:r>
        <w:rPr>
          <w:rFonts w:ascii="Cambria" w:hAnsi="Cambria"/>
          <w:b/>
          <w:color w:val="17365D"/>
          <w:sz w:val="23"/>
        </w:rPr>
        <w:t xml:space="preserve">Regla de alcance: </w:t>
      </w:r>
      <w:r>
        <w:rPr>
          <w:rFonts w:ascii="Cambria" w:hAnsi="Cambria"/>
          <w:b/>
          <w:color w:val="1F4E79"/>
          <w:sz w:val="23"/>
        </w:rPr>
        <w:t>si una capacidad no aparece en esta baseline, no forma parte del MVP v1.0.</w:t>
      </w:r>
    </w:p>
    <w:p>
      <w:pPr>
        <w:pStyle w:val="Heading2"/>
      </w:pPr>
      <w:r>
        <w:t>1.1 Criterios de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mbria" w:hAnsi="Cambria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496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mbria" w:hAnsi="Cambria"/>
                <w:b/>
                <w:color w:val="FFFFFF"/>
                <w:sz w:val="20"/>
              </w:rPr>
              <w:t>Aplicación en el MVP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Valor operativo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La feature debe mejorar trazabilidad, ownership, resolución, seguridad o información operativa.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Tamaño controlado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La implementación debe resolver el flujo principal sin convertir el MVP en una plataforma ITSM completa.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Trazabilidad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Cada feature debe mapearse a uno o más items del backlog antes de iniciar desarrollo.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Validación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Cada feature debe contar con criterios de aceptación verificables durante su refinamiento.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Control de cambios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Cualquier nueva capacidad requiere una decisión explícita de alcance y actualización de esta baseline.</w:t>
            </w:r>
          </w:p>
        </w:tc>
      </w:tr>
    </w:tbl>
    <w:p>
      <w:pPr>
        <w:pStyle w:val="Heading1"/>
      </w:pPr>
      <w:r>
        <w:t>2. Feature Baseline v1.0</w:t>
      </w:r>
    </w:p>
    <w:p>
      <w:pPr>
        <w:spacing w:after="120" w:line="259" w:lineRule="auto"/>
      </w:pPr>
      <w:r>
        <w:rPr>
          <w:rFonts w:ascii="Cambria" w:hAnsi="Cambria"/>
          <w:color w:val="222222"/>
          <w:sz w:val="23"/>
        </w:rPr>
        <w:t>La baseline agrupa las capacidades por resultado funcional. Los detalles de comportamiento del Ticket Service se refinan en el análisis OOA&amp;D y en las decisiones de dominio pendientes.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shd w:fill="1F4E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/>
            <w:r>
              <w:rPr>
                <w:rFonts w:ascii="Cambria" w:hAnsi="Cambria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84"/>
            <w:shd w:fill="1F4E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/>
            <w:r>
              <w:rPr>
                <w:rFonts w:ascii="Cambria" w:hAnsi="Cambria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484"/>
            <w:shd w:fill="1F4E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/>
            <w:r>
              <w:rPr>
                <w:rFonts w:ascii="Cambria" w:hAnsi="Cambria"/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2484"/>
            <w:shd w:fill="1F4E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/>
            <w:r>
              <w:rPr>
                <w:rFonts w:ascii="Cambria" w:hAnsi="Cambria"/>
                <w:b/>
                <w:color w:val="FFFFFF"/>
                <w:sz w:val="18"/>
              </w:rPr>
              <w:t>Baseline mínima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FB-01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Autenticación y acceso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Permitir que un usuario autorizado inicie sesión y acceda a la aplicación.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Login seguro; identificación del usuario autenticado; protección de operaciones que requieren identidad.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FB-02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Autorización basada en roles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Controlar qué acciones y datos puede utilizar cada tipo de usuario.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Roles mínimos: Requester, Support Agent, L2 Specialist, Supervisor y Administrator; acceso denegado cuando el rol no autoriza la operación.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FB-03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Creación y consulta de tickets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Permitir que los usuarios registren solicitudes y consulten su avance.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Crear ticket con datos mínimos; asignar requester; consultar detalle; listar tickets relevantes según permisos.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FB-04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Clasificación y prioridad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Estandarizar el triage sin eliminar la decisión humana.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Asignar tipo/categoría y prioridad; permitir corrección; conservar trazabilidad de cambios relevantes.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FB-05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Asignación y ownership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Mantener un responsable claro y visible durante todo el ciclo de vida.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Identificar equipo responsable y, cuando aplique, agente responsable; soportar asignación y reasignación con historial.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FB-06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Comentarios, historial y evidencia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Conservar el contexto operativo del ticket en un registro central.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Agregar comentarios; registrar transiciones y cambios de responsabilidad; mostrar historial cronológico y evidencia de resolución.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FB-07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Handoff y escalamiento L1→L2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Transferir trabajo desde Service Desk hacia Network, Business Applications o Information Security con trazabilidad.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Solicitar handoff; validar información mínima; aceptar, devolver o redirigir; conservar ownership hasta que el equipo receptor acepte.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FB-08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Resolución, cierre y reapertura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Cerrar el ciclo con evidencia y permitir recuperación cuando la solución no resulte suficiente.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Marcar como resuelto; cerrar mediante confirmación o regla acordada; reabrir un ticket resuelto o cerrado; conservar historial.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FB-09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Visibilidad restringida para InfoSec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Proteger tickets que requieren confidencialidad adicional.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Restringir lectura y acciones según rol/equipo; evitar que usuarios sin autorización accedan al contenido protegido.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FB-10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Métricas operativas básicas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Generar información mínima para conocer volumen y desempeño del soporte.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Contar tickets creados, abiertos, cerrados y pendientes; agrupar por categoría/equipo; mostrar resolución básica y volumen de escalamiento.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FB-11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Recomendación de triage mediante IA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Usar IA para sugerir una clasificación inicial del ticket.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Generar recomendación estructurada de categoría, prioridad y equipo; asociarla al ticket sin modificarlo automáticamente.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FB-12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/>
                <w:color w:val="17365D"/>
                <w:sz w:val="18"/>
              </w:rPr>
              <w:t>Revisión humana de recomendaciones de IA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Mantener control humano sobre cualquier recomendación generada por IA.</w:t>
            </w:r>
          </w:p>
        </w:tc>
        <w:tc>
          <w:tcPr>
            <w:tcW w:type="dxa" w:w="24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8FBFD"/>
          </w:tcPr>
          <w:p>
            <w:r/>
            <w:r>
              <w:rPr>
                <w:rFonts w:ascii="Cambria" w:hAnsi="Cambria"/>
                <w:b w:val="0"/>
                <w:color w:val="222222"/>
                <w:sz w:val="18"/>
              </w:rPr>
              <w:t>Permitir aceptar, modificar o rechazar la recomendación; registrar la decisión humana; aplicar cambios mediante una acción explícita.</w:t>
            </w:r>
          </w:p>
        </w:tc>
      </w:tr>
    </w:tbl>
    <w:p>
      <w:pPr>
        <w:pStyle w:val="Heading1"/>
      </w:pPr>
      <w:r>
        <w:t>3. Reglas funcionales transversales</w:t>
      </w:r>
    </w:p>
    <w:p>
      <w:pPr>
        <w:spacing w:after="80"/>
        <w:ind w:left="259" w:hanging="259"/>
      </w:pPr>
      <w:r>
        <w:rPr>
          <w:rFonts w:ascii="Cambria" w:hAnsi="Cambria"/>
          <w:b/>
          <w:color w:val="1F4E79"/>
          <w:sz w:val="21"/>
        </w:rPr>
        <w:t xml:space="preserve">RF-01  </w:t>
      </w:r>
      <w:r>
        <w:rPr>
          <w:rFonts w:ascii="Cambria" w:hAnsi="Cambria"/>
          <w:color w:val="222222"/>
          <w:sz w:val="21"/>
        </w:rPr>
        <w:t>Todo ticket debe mantener un responsable visible y una historia de cambios de responsabilidad.</w:t>
      </w:r>
    </w:p>
    <w:p>
      <w:pPr>
        <w:spacing w:after="80"/>
        <w:ind w:left="259" w:hanging="259"/>
      </w:pPr>
      <w:r>
        <w:rPr>
          <w:rFonts w:ascii="Cambria" w:hAnsi="Cambria"/>
          <w:b/>
          <w:color w:val="1F4E79"/>
          <w:sz w:val="21"/>
        </w:rPr>
        <w:t xml:space="preserve">RF-02  </w:t>
      </w:r>
      <w:r>
        <w:rPr>
          <w:rFonts w:ascii="Cambria" w:hAnsi="Cambria"/>
          <w:color w:val="222222"/>
          <w:sz w:val="21"/>
        </w:rPr>
        <w:t>Un handoff solicitado no cambia el ownership hasta que el equipo receptor lo acepte.</w:t>
      </w:r>
    </w:p>
    <w:p>
      <w:pPr>
        <w:spacing w:after="80"/>
        <w:ind w:left="259" w:hanging="259"/>
      </w:pPr>
      <w:r>
        <w:rPr>
          <w:rFonts w:ascii="Cambria" w:hAnsi="Cambria"/>
          <w:b/>
          <w:color w:val="1F4E79"/>
          <w:sz w:val="21"/>
        </w:rPr>
        <w:t xml:space="preserve">RF-03  </w:t>
      </w:r>
      <w:r>
        <w:rPr>
          <w:rFonts w:ascii="Cambria" w:hAnsi="Cambria"/>
          <w:color w:val="222222"/>
          <w:sz w:val="21"/>
        </w:rPr>
        <w:t>Toda transición de estado relevante debe quedar registrada en el historial del ticket.</w:t>
      </w:r>
    </w:p>
    <w:p>
      <w:pPr>
        <w:spacing w:after="80"/>
        <w:ind w:left="259" w:hanging="259"/>
      </w:pPr>
      <w:r>
        <w:rPr>
          <w:rFonts w:ascii="Cambria" w:hAnsi="Cambria"/>
          <w:b/>
          <w:color w:val="1F4E79"/>
          <w:sz w:val="21"/>
        </w:rPr>
        <w:t xml:space="preserve">RF-04  </w:t>
      </w:r>
      <w:r>
        <w:rPr>
          <w:rFonts w:ascii="Cambria" w:hAnsi="Cambria"/>
          <w:color w:val="222222"/>
          <w:sz w:val="21"/>
        </w:rPr>
        <w:t>El cierre debe pasar por un estado de resolución antes del estado cerrado.</w:t>
      </w:r>
    </w:p>
    <w:p>
      <w:pPr>
        <w:spacing w:after="80"/>
        <w:ind w:left="259" w:hanging="259"/>
      </w:pPr>
      <w:r>
        <w:rPr>
          <w:rFonts w:ascii="Cambria" w:hAnsi="Cambria"/>
          <w:b/>
          <w:color w:val="1F4E79"/>
          <w:sz w:val="21"/>
        </w:rPr>
        <w:t xml:space="preserve">RF-05  </w:t>
      </w:r>
      <w:r>
        <w:rPr>
          <w:rFonts w:ascii="Cambria" w:hAnsi="Cambria"/>
          <w:color w:val="222222"/>
          <w:sz w:val="21"/>
        </w:rPr>
        <w:t>El sistema debe permitir reapertura sin eliminar el historial previo.</w:t>
      </w:r>
    </w:p>
    <w:p>
      <w:pPr>
        <w:spacing w:after="80"/>
        <w:ind w:left="259" w:hanging="259"/>
      </w:pPr>
      <w:r>
        <w:rPr>
          <w:rFonts w:ascii="Cambria" w:hAnsi="Cambria"/>
          <w:b/>
          <w:color w:val="1F4E79"/>
          <w:sz w:val="21"/>
        </w:rPr>
        <w:t xml:space="preserve">RF-06  </w:t>
      </w:r>
      <w:r>
        <w:rPr>
          <w:rFonts w:ascii="Cambria" w:hAnsi="Cambria"/>
          <w:color w:val="222222"/>
          <w:sz w:val="21"/>
        </w:rPr>
        <w:t>Una recomendación de IA nunca debe modificar el ticket por sí sola.</w:t>
      </w:r>
    </w:p>
    <w:p>
      <w:pPr>
        <w:spacing w:after="80"/>
        <w:ind w:left="259" w:hanging="259"/>
      </w:pPr>
      <w:r>
        <w:rPr>
          <w:rFonts w:ascii="Cambria" w:hAnsi="Cambria"/>
          <w:b/>
          <w:color w:val="1F4E79"/>
          <w:sz w:val="21"/>
        </w:rPr>
        <w:t xml:space="preserve">RF-07  </w:t>
      </w:r>
      <w:r>
        <w:rPr>
          <w:rFonts w:ascii="Cambria" w:hAnsi="Cambria"/>
          <w:color w:val="222222"/>
          <w:sz w:val="21"/>
        </w:rPr>
        <w:t>Las operaciones protegidas requieren usuario autenticado y autorización válida.</w:t>
      </w:r>
    </w:p>
    <w:p>
      <w:pPr>
        <w:spacing w:after="80"/>
        <w:ind w:left="259" w:hanging="259"/>
      </w:pPr>
      <w:r>
        <w:rPr>
          <w:rFonts w:ascii="Cambria" w:hAnsi="Cambria"/>
          <w:b/>
          <w:color w:val="1F4E79"/>
          <w:sz w:val="21"/>
        </w:rPr>
        <w:t xml:space="preserve">RF-08  </w:t>
      </w:r>
      <w:r>
        <w:rPr>
          <w:rFonts w:ascii="Cambria" w:hAnsi="Cambria"/>
          <w:color w:val="222222"/>
          <w:sz w:val="21"/>
        </w:rPr>
        <w:t>Los tickets de Information Security pueden aplicar restricciones de visibilidad adicionales.</w:t>
      </w:r>
    </w:p>
    <w:p>
      <w:pPr>
        <w:pStyle w:val="SmallNote"/>
        <w:spacing w:before="120"/>
      </w:pPr>
      <w:r>
        <w:rPr>
          <w:rFonts w:ascii="Cambria" w:hAnsi="Cambria"/>
          <w:b/>
          <w:color w:val="666666"/>
          <w:sz w:val="19"/>
        </w:rPr>
        <w:t xml:space="preserve">Nota: </w:t>
      </w:r>
      <w:r>
        <w:rPr>
          <w:rFonts w:ascii="Cambria" w:hAnsi="Cambria"/>
          <w:color w:val="666666"/>
          <w:sz w:val="19"/>
        </w:rPr>
        <w:t>el Issue #5 “Resolve Open Ticket Domain Decisions” debe definir parámetros pendientes, como ciclos de redirección y mecanismo de cierre. Estas decisiones no agregan nuevas features.</w:t>
      </w:r>
    </w:p>
    <w:p>
      <w:pPr>
        <w:pStyle w:val="Heading1"/>
      </w:pPr>
      <w:r>
        <w:t>4. Actores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9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FFFFFF"/>
                <w:sz w:val="20"/>
              </w:rPr>
              <w:t>Responsabilidad funcional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Requester / Employee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Crea tickets, consulta sus casos, comenta y participa en confirmación o reapertura.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Support Agent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Realiza triage, atiende L1, asigna, comenta, resuelve y solicita escalamiento.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L2 Specialist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Atiende tickets escalados en Network, Business Applications o Information Security.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Supervisor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Supervisa colas, asignaciones, escalamiento y métricas operativas.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Administrator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Administra usuarios, roles y configuraciones básicas necesarias para operar el MVP.</w:t>
            </w:r>
          </w:p>
        </w:tc>
      </w:tr>
    </w:tbl>
    <w:p>
      <w:pPr>
        <w:pStyle w:val="Heading1"/>
      </w:pPr>
      <w:r>
        <w:t>5. Fuera del MVP v1.0</w:t>
      </w:r>
    </w:p>
    <w:p>
      <w:pPr>
        <w:spacing w:after="120" w:line="259" w:lineRule="auto"/>
      </w:pPr>
      <w:r>
        <w:rPr>
          <w:rFonts w:ascii="Cambria" w:hAnsi="Cambria"/>
          <w:color w:val="222222"/>
          <w:sz w:val="23"/>
        </w:rPr>
        <w:t>Las siguientes capacidades no forman parte de esta baseline. El proyecto puede evaluarlas después del release v1.0 mediante una nueva decisión de alcance.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7F8C8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FFFFFF"/>
                <w:sz w:val="20"/>
              </w:rPr>
              <w:t>Capacidad excluida</w:t>
            </w:r>
          </w:p>
        </w:tc>
        <w:tc>
          <w:tcPr>
            <w:tcW w:type="dxa" w:w="4968"/>
            <w:shd w:fill="7F8C8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FFFFFF"/>
                <w:sz w:val="20"/>
              </w:rPr>
              <w:t>Límite de alcance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Integración automática multicanal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Creación automática desde correo, Teams, telefonía u otros canales.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Knowledge Base y RAG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Base de conocimiento formal, embeddings, búsqueda semántica y generación aumentada por recuperación.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CMDB e inventario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Gestión de activos, configuración, relaciones entre CIs e inventario empresarial.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Catálogo ITIL completo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Catálogo formal de servicios, workflows empresariales y procesos ITSM completos.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SLA/OLA avanzados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Motores configurables, calendarios, reglas por categoría y alertas de incumplimiento.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Reporting avanzado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Dashboards ejecutivos, analítica histórica compleja y capacidades BI.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Lifecycle de accesos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Altas, bajas, offboarding, expiración y revocación automatizada de accesos.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Orquestación multiagente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Grupos de agentes autónomos, workflows complejos de agentes o decisiones sin revisión humana.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222222"/>
                <w:sz w:val="20"/>
              </w:rPr>
              <w:t>Ejecución autónoma por IA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 w:val="0"/>
                <w:color w:val="222222"/>
                <w:sz w:val="20"/>
              </w:rPr>
              <w:t>Cambios automáticos en tickets, ownership o prioridades sin confirmación humana.</w:t>
            </w:r>
          </w:p>
        </w:tc>
      </w:tr>
    </w:tbl>
    <w:p>
      <w:pPr>
        <w:pStyle w:val="Heading1"/>
      </w:pPr>
      <w:r>
        <w:t>6. Elementos que no constituyen features</w:t>
      </w:r>
    </w:p>
    <w:p>
      <w:pPr>
        <w:spacing w:after="120" w:line="259" w:lineRule="auto"/>
      </w:pPr>
      <w:r>
        <w:rPr>
          <w:rFonts w:ascii="Cambria" w:hAnsi="Cambria"/>
          <w:color w:val="222222"/>
          <w:sz w:val="23"/>
        </w:rPr>
        <w:t>La baseline funcional describe qué obtiene el usuario. Las siguientes decisiones apoyan la implementación, pero no amplían el alcance por sí mismas:</w:t>
      </w:r>
    </w:p>
    <w:p>
      <w:pPr>
        <w:spacing w:after="40"/>
        <w:ind w:left="360"/>
      </w:pPr>
      <w:r>
        <w:rPr>
          <w:rFonts w:ascii="Cambria" w:hAnsi="Cambria"/>
          <w:color w:val="1F4E79"/>
          <w:sz w:val="21"/>
        </w:rPr>
        <w:t xml:space="preserve">• </w:t>
      </w:r>
      <w:r>
        <w:rPr>
          <w:rFonts w:ascii="Cambria" w:hAnsi="Cambria"/>
          <w:color w:val="222222"/>
          <w:sz w:val="21"/>
        </w:rPr>
        <w:t>React y TypeScript para la interfaz.</w:t>
      </w:r>
    </w:p>
    <w:p>
      <w:pPr>
        <w:spacing w:after="40"/>
        <w:ind w:left="360"/>
      </w:pPr>
      <w:r>
        <w:rPr>
          <w:rFonts w:ascii="Cambria" w:hAnsi="Cambria"/>
          <w:color w:val="1F4E79"/>
          <w:sz w:val="21"/>
        </w:rPr>
        <w:t xml:space="preserve">• </w:t>
      </w:r>
      <w:r>
        <w:rPr>
          <w:rFonts w:ascii="Cambria" w:hAnsi="Cambria"/>
          <w:color w:val="222222"/>
          <w:sz w:val="21"/>
        </w:rPr>
        <w:t>ASP.NET Core y C# para APIs y servicios.</w:t>
      </w:r>
    </w:p>
    <w:p>
      <w:pPr>
        <w:spacing w:after="40"/>
        <w:ind w:left="360"/>
      </w:pPr>
      <w:r>
        <w:rPr>
          <w:rFonts w:ascii="Cambria" w:hAnsi="Cambria"/>
          <w:color w:val="1F4E79"/>
          <w:sz w:val="21"/>
        </w:rPr>
        <w:t xml:space="preserve">• </w:t>
      </w:r>
      <w:r>
        <w:rPr>
          <w:rFonts w:ascii="Cambria" w:hAnsi="Cambria"/>
          <w:color w:val="222222"/>
          <w:sz w:val="21"/>
        </w:rPr>
        <w:t>Entity Framework Core y PostgreSQL para persistencia.</w:t>
      </w:r>
    </w:p>
    <w:p>
      <w:pPr>
        <w:spacing w:after="40"/>
        <w:ind w:left="360"/>
      </w:pPr>
      <w:r>
        <w:rPr>
          <w:rFonts w:ascii="Cambria" w:hAnsi="Cambria"/>
          <w:color w:val="1F4E79"/>
          <w:sz w:val="21"/>
        </w:rPr>
        <w:t xml:space="preserve">• </w:t>
      </w:r>
      <w:r>
        <w:rPr>
          <w:rFonts w:ascii="Cambria" w:hAnsi="Cambria"/>
          <w:color w:val="222222"/>
          <w:sz w:val="21"/>
        </w:rPr>
        <w:t>Docker y Docker Compose para entornos reproducibles.</w:t>
      </w:r>
    </w:p>
    <w:p>
      <w:pPr>
        <w:spacing w:after="40"/>
        <w:ind w:left="360"/>
      </w:pPr>
      <w:r>
        <w:rPr>
          <w:rFonts w:ascii="Cambria" w:hAnsi="Cambria"/>
          <w:color w:val="1F4E79"/>
          <w:sz w:val="21"/>
        </w:rPr>
        <w:t xml:space="preserve">• </w:t>
      </w:r>
      <w:r>
        <w:rPr>
          <w:rFonts w:ascii="Cambria" w:hAnsi="Cambria"/>
          <w:color w:val="222222"/>
          <w:sz w:val="21"/>
        </w:rPr>
        <w:t>GitHub Actions para CI/CD.</w:t>
      </w:r>
    </w:p>
    <w:p>
      <w:pPr>
        <w:spacing w:after="40"/>
        <w:ind w:left="360"/>
      </w:pPr>
      <w:r>
        <w:rPr>
          <w:rFonts w:ascii="Cambria" w:hAnsi="Cambria"/>
          <w:color w:val="1F4E79"/>
          <w:sz w:val="21"/>
        </w:rPr>
        <w:t xml:space="preserve">• </w:t>
      </w:r>
      <w:r>
        <w:rPr>
          <w:rFonts w:ascii="Cambria" w:hAnsi="Cambria"/>
          <w:color w:val="222222"/>
          <w:sz w:val="21"/>
        </w:rPr>
        <w:t>RabbitMQ y Outbox cuando la arquitectura requiera comunicación asíncrona.</w:t>
      </w:r>
    </w:p>
    <w:p>
      <w:pPr>
        <w:spacing w:after="40"/>
        <w:ind w:left="360"/>
      </w:pPr>
      <w:r>
        <w:rPr>
          <w:rFonts w:ascii="Cambria" w:hAnsi="Cambria"/>
          <w:color w:val="1F4E79"/>
          <w:sz w:val="21"/>
        </w:rPr>
        <w:t xml:space="preserve">• </w:t>
      </w:r>
      <w:r>
        <w:rPr>
          <w:rFonts w:ascii="Cambria" w:hAnsi="Cambria"/>
          <w:color w:val="222222"/>
          <w:sz w:val="21"/>
        </w:rPr>
        <w:t>Pruebas unitarias, integración y E2E para validar el alcance.</w:t>
      </w:r>
    </w:p>
    <w:p>
      <w:pPr>
        <w:pStyle w:val="Heading1"/>
      </w:pPr>
      <w:r>
        <w:t>7. Control de cambios de alcance</w:t>
      </w:r>
    </w:p>
    <w:p>
      <w:pPr>
        <w:spacing w:after="120" w:line="259" w:lineRule="auto"/>
      </w:pPr>
      <w:r>
        <w:rPr>
          <w:rFonts w:ascii="Cambria" w:hAnsi="Cambria"/>
          <w:color w:val="222222"/>
          <w:sz w:val="23"/>
        </w:rPr>
        <w:t>El equipo debe actualizar esta baseline cuando una decisión cambie las capacidades entregables del MVP. Un ajuste técnico no requiere cambio de baseline si conserva el mismo resultado funcional.</w:t>
      </w:r>
    </w:p>
    <w:p>
      <w:pPr>
        <w:spacing w:after="80"/>
      </w:pPr>
      <w:r>
        <w:rPr>
          <w:rFonts w:ascii="Cambria" w:hAnsi="Cambria"/>
          <w:b/>
          <w:color w:val="1F4E79"/>
          <w:sz w:val="21"/>
        </w:rPr>
        <w:t xml:space="preserve">1. </w:t>
      </w:r>
      <w:r>
        <w:rPr>
          <w:rFonts w:ascii="Cambria" w:hAnsi="Cambria"/>
          <w:color w:val="222222"/>
          <w:sz w:val="21"/>
        </w:rPr>
        <w:t>Registrar la propuesta como Issue o decisión de alcance.</w:t>
      </w:r>
    </w:p>
    <w:p>
      <w:pPr>
        <w:spacing w:after="80"/>
      </w:pPr>
      <w:r>
        <w:rPr>
          <w:rFonts w:ascii="Cambria" w:hAnsi="Cambria"/>
          <w:b/>
          <w:color w:val="1F4E79"/>
          <w:sz w:val="21"/>
        </w:rPr>
        <w:t xml:space="preserve">2. </w:t>
      </w:r>
      <w:r>
        <w:rPr>
          <w:rFonts w:ascii="Cambria" w:hAnsi="Cambria"/>
          <w:color w:val="222222"/>
          <w:sz w:val="21"/>
        </w:rPr>
        <w:t>Explicar el valor, impacto, dependencias y costo estimado.</w:t>
      </w:r>
    </w:p>
    <w:p>
      <w:pPr>
        <w:spacing w:after="80"/>
      </w:pPr>
      <w:r>
        <w:rPr>
          <w:rFonts w:ascii="Cambria" w:hAnsi="Cambria"/>
          <w:b/>
          <w:color w:val="1F4E79"/>
          <w:sz w:val="21"/>
        </w:rPr>
        <w:t xml:space="preserve">3. </w:t>
      </w:r>
      <w:r>
        <w:rPr>
          <w:rFonts w:ascii="Cambria" w:hAnsi="Cambria"/>
          <w:color w:val="222222"/>
          <w:sz w:val="21"/>
        </w:rPr>
        <w:t>Decidir si la propuesta entra en v1.0 o pasa a una versión posterior.</w:t>
      </w:r>
    </w:p>
    <w:p>
      <w:pPr>
        <w:spacing w:after="80"/>
      </w:pPr>
      <w:r>
        <w:rPr>
          <w:rFonts w:ascii="Cambria" w:hAnsi="Cambria"/>
          <w:b/>
          <w:color w:val="1F4E79"/>
          <w:sz w:val="21"/>
        </w:rPr>
        <w:t xml:space="preserve">4. </w:t>
      </w:r>
      <w:r>
        <w:rPr>
          <w:rFonts w:ascii="Cambria" w:hAnsi="Cambria"/>
          <w:color w:val="222222"/>
          <w:sz w:val="21"/>
        </w:rPr>
        <w:t>Actualizar la versión del documento y el backlog antes de iniciar implementación.</w:t>
      </w:r>
    </w:p>
    <w:p>
      <w:pPr>
        <w:pStyle w:val="Heading1"/>
      </w:pPr>
      <w:r>
        <w:t>8. Criterio de cierre del Feature Baseline</w:t>
      </w:r>
    </w:p>
    <w:p>
      <w:pPr>
        <w:spacing w:after="120" w:line="259" w:lineRule="auto"/>
      </w:pPr>
      <w:r>
        <w:rPr>
          <w:rFonts w:ascii="Cambria" w:hAnsi="Cambria"/>
          <w:color w:val="222222"/>
          <w:sz w:val="23"/>
        </w:rPr>
        <w:t>El Issue #3 “Review and Baseline MVP Functional Requirements” puede cerrarse cuando el equipo acepta esta versión como fuente de verdad del alcance funcional y alinea el backlog con sus features.</w:t>
      </w:r>
    </w:p>
    <w:p>
      <w:pPr>
        <w:spacing w:after="120" w:line="259" w:lineRule="auto"/>
      </w:pPr>
      <w:r>
        <w:rPr>
          <w:rFonts w:ascii="Cambria" w:hAnsi="Cambria"/>
          <w:color w:val="222222"/>
          <w:sz w:val="23"/>
        </w:rPr>
        <w:t>Los Issues de arquitectura, DevOps y diseño de dominio pueden continuar después. Ninguno debe introducir nuevas capacidades funcionales sin actualizar esta baseline.</w:t>
      </w:r>
    </w:p>
    <w:p>
      <w:pPr>
        <w:pStyle w:val="Heading1"/>
      </w:pPr>
      <w:r>
        <w:t>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248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48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48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b/>
                <w:color w:val="FFFFFF"/>
                <w:sz w:val="19"/>
              </w:rPr>
              <w:t>Cambio</w:t>
            </w:r>
          </w:p>
        </w:tc>
      </w:tr>
      <w:tr>
        <w:trPr>
          <w:cantSplit/>
        </w:trP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color w:val="222222"/>
                <w:sz w:val="19"/>
              </w:rPr>
              <w:t>1.0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color w:val="222222"/>
                <w:sz w:val="19"/>
              </w:rPr>
              <w:t>03/09/2026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color w:val="222222"/>
                <w:sz w:val="19"/>
              </w:rPr>
              <w:t>Baseline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Cambria" w:hAnsi="Cambria"/>
                <w:color w:val="222222"/>
                <w:sz w:val="19"/>
              </w:rPr>
              <w:t>Primera línea base formal de features del ServiceDesk MVP.</w:t>
            </w:r>
          </w:p>
        </w:tc>
      </w:tr>
    </w:tbl>
    <w:p>
      <w:pPr>
        <w:pStyle w:val="SmallNote"/>
        <w:spacing w:before="280"/>
      </w:pPr>
      <w:r>
        <w:rPr>
          <w:rFonts w:ascii="Cambria" w:hAnsi="Cambria"/>
          <w:b/>
          <w:color w:val="666666"/>
          <w:sz w:val="19"/>
        </w:rPr>
        <w:t xml:space="preserve">Referencias de proyecto: </w:t>
      </w:r>
      <w:r>
        <w:rPr>
          <w:rFonts w:ascii="Cambria" w:hAnsi="Cambria"/>
          <w:color w:val="666666"/>
          <w:sz w:val="19"/>
        </w:rPr>
        <w:t>ServiceDesk – Requerimientos Candidatos v0.1; ServiceDesk – Análisis OOA&amp;D: Ticket Service v0.1; ServiceDesk GitHub Project / Issue #3.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mbria" w:hAnsi="Cambria"/>
        <w:color w:val="777777"/>
        <w:sz w:val="18"/>
      </w:rPr>
      <w:t>ACME  |  Feature Baseline v1.0</w:t>
    </w:r>
  </w:p>
  <w:p>
    <w:pPr>
      <w:jc w:val="right"/>
    </w:pPr>
    <w:r>
      <w:rPr>
        <w:rFonts w:ascii="Cambria" w:hAnsi="Cambria"/>
        <w:color w:val="666666"/>
        <w:sz w:val="18"/>
      </w:rPr>
      <w:t xml:space="preserve">Página </w:t>
    </w:r>
    <w:r>
      <w:rPr>
        <w:rFonts w:ascii="Cambria" w:hAnsi="Cambria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Cambria" w:hAnsi="Cambria"/>
        <w:color w:val="666666"/>
        <w:sz w:val="18"/>
      </w:rPr>
      <w:t xml:space="preserve"> de </w:t>
    </w:r>
    <w:r>
      <w:rPr>
        <w:rFonts w:ascii="Cambria" w:hAnsi="Cambria"/>
        <w:color w:val="666666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/>
        <w:b/>
        <w:color w:val="666666"/>
        <w:sz w:val="18"/>
      </w:rPr>
      <w:t>CONFIDENCIAL  |  ServiceDesk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mbria" w:hAnsi="Cambria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mbria" w:hAnsi="Cambria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mbria" w:hAnsi="Cambria"/>
      <w:b w:val="0"/>
      <w:i/>
      <w:iCs/>
      <w:color w:val="5B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Cambria" w:hAnsi="Cambria"/>
      <w:color w:val="66666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ServiceDesk – Feature Baseline v1.0</dc:title>
  <dc:subject>Línea base funcional del MVP</dc:subject>
  <dc:creator>ServiceDesk Project</dc:creator>
  <cp:keywords>ServiceDesk, MVP, Feature Baseline, Scope, ACME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