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 xml:space="preserve">ServiceDesk</w:t>
      </w:r>
    </w:p>
    <w:p>
      <w:pPr>
        <w:spacing w:after="80"/>
        <w:jc w:val="center"/>
      </w:pPr>
      <w:r>
        <w:rPr>
          <w:b/>
          <w:bCs/>
          <w:color w:val="444444"/>
          <w:sz w:val="34"/>
          <w:szCs w:val="34"/>
        </w:rPr>
        <w:t xml:space="preserve">Análisis OOA&amp;D — Ticket Service</w:t>
      </w:r>
    </w:p>
    <w:p>
      <w:pPr>
        <w:spacing w:after="400"/>
        <w:jc w:val="center"/>
      </w:pPr>
      <w:r>
        <w:rPr>
          <w:i/>
          <w:iCs/>
          <w:color w:val="666666"/>
          <w:sz w:val="22"/>
          <w:szCs w:val="22"/>
        </w:rPr>
        <w:t xml:space="preserve">Diagrama de estados, modelo de clases del dominio y diagramas de secuencia de los flujos críticos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ACME</w:t>
      </w:r>
    </w:p>
    <w:p>
      <w:pPr>
        <w:jc w:val="center"/>
      </w:pPr>
      <w:r>
        <w:rPr>
          <w:color w:val="666666"/>
          <w:sz w:val="20"/>
          <w:szCs w:val="20"/>
        </w:rPr>
        <w:t xml:space="preserve">Versión 0.1 | 27 de agosto de 2026</w:t>
      </w:r>
    </w:p>
    <w:p>
      <w:r>
        <w:br w:type="page"/>
      </w:r>
    </w:p>
    <w:p>
      <w:pPr>
        <w:pStyle w:val="Heading1"/>
        <w:spacing w:after="160" w:before="400"/>
      </w:pPr>
      <w:r>
        <w:t xml:space="preserve">Control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pct" w:w="7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ServiceDesk – Análisis OOA&amp;D: Ticket Service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Versión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27 de agosto de 2026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Borrador para revisión antes de la Iteración 4 (Ticket Domain)</w:t>
            </w:r>
          </w:p>
        </w:tc>
      </w:tr>
      <w:tr>
        <w:tc>
          <w:tcPr>
            <w:tcW w:type="pct" w:w="2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Origen</w:t>
            </w:r>
          </w:p>
        </w:tc>
        <w:tc>
          <w:tcPr>
            <w:tcW w:type="pct" w:w="7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ServiceDesk_Requerimientos_Candidatos v0.1; ServiceDesk_Plan_Desarrollo_MVP v1.0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Propósito</w:t>
            </w:r>
          </w:p>
        </w:tc>
        <w:tc>
          <w:tcPr>
            <w:tcW w:type="pct" w:w="7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Modelar el comportamiento y las reglas del dominio del Ticket Service antes de su implementación en código, cerrando la brecha entre requerimientos y arquitectura.</w:t>
            </w:r>
          </w:p>
        </w:tc>
      </w:tr>
    </w:tbl>
    <w:p>
      <w:pPr>
        <w:pStyle w:val="Heading1"/>
        <w:spacing w:after="160" w:before="400"/>
      </w:pPr>
      <w:r>
        <w:t xml:space="preserve">Alcance de este análisis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Este análisis se enfoca exclusivamente en el Ticket Service, por ser el bounded context con mayor complejidad de comportamiento (estados, transiciones, invariantes, colaboración entre equipos). Identity Service, Reporting Service y buena parte del AI Agent Service son mayormente CRUD o proyecciones de solo lectura, por lo que no se justifica un modelado OOA&amp;D formal para ellos en esta etapa.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resultado de este documento debe usarse como referencia directa para el modelado del aggregate Ticket en EF Core durante la Iteración 4, y para las iteraciones de Escalation Workflow y Cierre/Reapertura que dependen de él.</w:t>
      </w:r>
    </w:p>
    <w:p>
      <w:pPr>
        <w:pStyle w:val="Heading1"/>
        <w:spacing w:after="160" w:before="400"/>
      </w:pPr>
      <w:r>
        <w:t xml:space="preserve">1. Diagrama de estados del ticket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Los estados y transiciones surgen de resolver una ambigüedad explícita del Plan de Desarrollo: el dominio menciona "transiciones de estado" y "pattern matching" sin definir los estados ni las reglas de cambio entre ellos.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1485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1. Diagrama de estados del aggregate Ticket.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pct" w:w="47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pct" w:w="35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entra</w:t>
            </w:r>
          </w:p>
        </w:tc>
      </w:tr>
      <w:tr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Nuevo</w:t>
            </w:r>
          </w:p>
        </w:tc>
        <w:tc>
          <w:tcPr>
            <w:tcW w:type="pct" w:w="4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Ticket creado, aún sin triage.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Automática al crear (REQ-01).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Clasificado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Tipo, categoría y prioridad confirmados por un humano (con o sin ayuda de IA).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Confirmación/ajuste de la propuesta de triage (REQ-06, REQ-07).</w:t>
            </w:r>
          </w:p>
        </w:tc>
      </w:tr>
      <w:tr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Asignado</w:t>
            </w:r>
          </w:p>
        </w:tc>
        <w:tc>
          <w:tcPr>
            <w:tcW w:type="pct" w:w="4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Tiene un equipo/analista responsable (ownership) vigente.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Asignación inicial, reasignación, handoff aceptado/devuelto, reapertura.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PendienteHandoff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Escalación solicitada a otro equipo; el ownership aún no cambia mientras está pendiente.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Solicitud de handoff (REQ-13, REQ-14).</w:t>
            </w:r>
          </w:p>
        </w:tc>
      </w:tr>
      <w:tr>
        <w:tc>
          <w:tcPr>
            <w:tcW w:type="pct" w:w="1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Resuelto</w:t>
            </w:r>
          </w:p>
        </w:tc>
        <w:tc>
          <w:tcPr>
            <w:tcW w:type="pct" w:w="47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El analista considera resuelto el caso; aún no hay confirmación del usuario.</w:t>
            </w:r>
          </w:p>
        </w:tc>
        <w:tc>
          <w:tcPr>
            <w:tcW w:type="pct" w:w="35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Resolución por el analista responsable.</w:t>
            </w:r>
          </w:p>
        </w:tc>
      </w:tr>
      <w:tr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Cerrado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Cierre definitivo, con confirmación o ausencia de objeción del usuario.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Confirmación explícita o vencimiento del plazo sin objeción (REQ-19).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t xml:space="preserve">2. Modelo de clases del dominio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El modelo identifica el aggregate root, sus entidades hijas, los value objects y las entidades de referencia externas, resolviendo los límites de consistencia (aggregate boundaries) que el Plan de Desarrollo no dejaba explícitos.</w:t>
      </w:r>
    </w:p>
    <w:p>
      <w:pPr>
        <w:spacing w:after="40" w:before="160"/>
        <w:jc w:val="center"/>
      </w:pPr>
      <w:r>
        <w:drawing>
          <wp:inline distT="0" distB="0" distL="0" distR="0">
            <wp:extent cx="4572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2. Modelo de clases del dominio — aggregate Ticket y entidades relacionadas.</w:t>
      </w:r>
    </w:p>
    <w:p>
      <w:pPr>
        <w:pStyle w:val="Heading2"/>
        <w:spacing w:after="120" w:before="300"/>
      </w:pPr>
      <w:r>
        <w:t xml:space="preserve">2.1 Decisiones de límite de aggregate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pct" w:w="28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pct" w:w="50%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Handoff, TicketComment, TicketHistoryEntry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Entidades hijas dentro del aggregate Ticket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 ciclo de vida depende completamente del ticket y deben guardarse en la misma transacción que los cambios de estado que provocan (p. ej. crear un Handoff y cambiar el estado del ticket son atómicos).</w:t>
            </w:r>
          </w:p>
        </w:tc>
      </w:tr>
      <w:t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AiRecommendation</w:t>
            </w:r>
          </w:p>
        </w:tc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Aggregate independiente, referenciado por TicketId</w:t>
            </w:r>
          </w:p>
        </w:tc>
        <w:tc>
          <w:tcPr>
            <w:tcW w:type="pct" w:w="50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Es producida de forma asíncrona por un servicio distinto (AI Agent Service) y su ciclo de vida (propuesta → aceptada/modificada/rechazada) no necesita la misma consistencia transaccional que el ticket. Mantenerla separada evita que el aggregate Ticket crezca innecesariamente y evita conflictos de concurrencia (RowVersion) por escrituras de IA.</w:t>
            </w:r>
          </w:p>
        </w:tc>
      </w:tr>
      <w:tr>
        <w:tc>
          <w:tcPr>
            <w:tcW w:type="pct" w:w="22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Team, Category, UserReference</w:t>
            </w:r>
          </w:p>
        </w:tc>
        <w:tc>
          <w:tcPr>
            <w:tcW w:type="pct" w:w="28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Entidades de referencia (lookup), fuera del aggregate</w:t>
            </w:r>
          </w:p>
        </w:tc>
        <w:tc>
          <w:tcPr>
            <w:tcW w:type="pct" w:w="50%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Son catálogos o copias locales sincronizadas desde otros servicios (Identity Service es dueño de UserReference). El aggregate Ticket solo guarda su Id, nunca los carga como parte de su límite de consistencia.</w:t>
            </w:r>
          </w:p>
        </w:tc>
      </w:tr>
    </w:tbl>
    <w:p>
      <w:pPr>
        <w:pStyle w:val="Heading2"/>
        <w:spacing w:after="120" w:before="300"/>
      </w:pPr>
      <w:r>
        <w:t xml:space="preserve">2.2 Invariantes que el aggregate debe proteger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ticket siempre tiene exactamente un equipo responsable (OwnerTeamId) mientras no está en estado PendienteHandoff sin resolver.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ownership solo puede cambiar como resultado de: asignación inicial, aceptación de un handoff, o redirección de un handoff — nunca por edición directa del campo.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Handoff no puede crearse si el ticket ya tiene un handoff en estado Requested sin resolver (evita handoffs duplicados simultáneos).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 ticket no puede pasar a Cerrado si no pasó antes por Resuelto (no se permite saltar el paso de confirmación).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 transición de estado debe generar una TicketHistoryEntry — no existen cambios de estado "silenciosos".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Una AiRecommendation nunca modifica el Ticket directamente; solo un comando ejecutado por un humano (o una regla de auto-aceptación explícita, si se decide en el futuro) puede aplicar sus valores propuestos.</w:t>
      </w:r>
    </w:p>
    <w:p>
      <w:r>
        <w:br w:type="page"/>
      </w:r>
    </w:p>
    <w:p>
      <w:pPr>
        <w:pStyle w:val="Heading1"/>
        <w:spacing w:after="160" w:before="400"/>
      </w:pPr>
      <w:r>
        <w:t xml:space="preserve">3. Diagramas de secuencia de los flujos críticos</w:t>
      </w:r>
    </w:p>
    <w:p>
      <w:pPr>
        <w:pStyle w:val="Heading2"/>
        <w:spacing w:after="120" w:before="300"/>
      </w:pPr>
      <w:r>
        <w:t xml:space="preserve">3.1 Creación del ticket y triage asistido por IA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Cubre desde la creación del caso por el usuario hasta la clasificación confirmada por un analista, incluyendo la propuesta asíncrona del AI Agent Service a través del outbox pattern.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3. Secuencia: creación y triage.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Puntos de diseño relevantes: la creación del ticket y el registro del OutboxMessage ocurren en la misma transacción (garantiza que ningún TicketCreated se pierda); la IA nunca escribe directamente sobre el Ticket, solo propone una AiRecommendation que un humano confirma o ajusta.</w:t>
      </w:r>
    </w:p>
    <w:p>
      <w:r>
        <w:br w:type="page"/>
      </w:r>
    </w:p>
    <w:p>
      <w:pPr>
        <w:pStyle w:val="Heading2"/>
        <w:spacing w:after="120" w:before="300"/>
      </w:pPr>
      <w:r>
        <w:t xml:space="preserve">3.2 Solicitud de handoff, validación y resolución (aceptar / devolver / redirigir)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Cubre la escalación de Service Desk a un equipo L2, la validación de información mínima antes de permitir el handoff, y las tres resoluciones posibles por parte del equipo receptor.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4. Secuencia: escalamiento L1→L2.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Puntos de diseño relevantes: el ownership del ticket no cambia mientras el Handoff está en estado Requested; solo cambia si el equipo receptor acepta explícitamente. Devolver o redirigir nunca transfiere ownership.</w:t>
      </w:r>
    </w:p>
    <w:p>
      <w:r>
        <w:br w:type="page"/>
      </w:r>
    </w:p>
    <w:p>
      <w:pPr>
        <w:pStyle w:val="Heading2"/>
        <w:spacing w:after="120" w:before="300"/>
      </w:pPr>
      <w:r>
        <w:t xml:space="preserve">3.3 Resolución, cierre y reapertura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Cubre el cierre centrado en el usuario: el ticket pasa por un estado Resuelto intermedio antes de Cerrado, y el usuario puede reabrirlo en cualquiera de esos dos puntos.</w:t>
      </w:r>
    </w:p>
    <w:p>
      <w:pPr>
        <w:spacing w:after="40" w:before="160"/>
        <w:jc w:val="center"/>
      </w:pPr>
      <w:r>
        <w:drawing>
          <wp:inline distT="0" distB="0" distL="0" distR="0">
            <wp:extent cx="59055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18"/>
          <w:szCs w:val="18"/>
        </w:rPr>
        <w:t xml:space="preserve">Figura 5. Secuencia: resolución, cierre y reapertura.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Puntos de diseño relevantes: Reporting Service nunca lee la base del Ticket Service directamente — se actualiza exclusivamente vía eventos, preservando el aislamiento de esquema por servicio ya definido en el Plan de Desarrollo.</w:t>
      </w:r>
    </w:p>
    <w:p>
      <w:pPr>
        <w:pStyle w:val="Heading1"/>
        <w:spacing w:after="160" w:before="400"/>
      </w:pPr>
      <w:r>
        <w:t xml:space="preserve">4. Próximos pasos sugeridos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Validar este modelo con Laura Martínez y Miguel Hernández antes de comenzar la Iteración 4 (Ticket Domain).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Confirmar con el equipo si Handoff admite más de un ciclo de redirección antes de resolverse, o si debe limitarse a un solo salto.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el mecanismo concreto de "confirmación o ausencia de objeción" del usuario en el cierre (plazo, canal, valor por defecto) — hoy es una regla de negocio sin parámetros definidos.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Trasladar los invariantes de la sección 2.2 directamente a pruebas unitarias del aggregate Ticket antes de implementar los métodos de comportamiento.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Repetir este mismo ejercicio, en versión reducida, para AI Agent Service únicamente si su lógica de generación de recomendaciones crece en complejidad más allá de un solo prompt estructurado.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ServiceDesk — Análisis OOA&amp;D: Ticket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8" w:space="4"/>
      </w:pBdr>
      <w:spacing w:after="160" w:before="36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1e4e5819fc175d4b422e73453324a5a9747cef5.png"/><Relationship Id="rId10" Type="http://schemas.openxmlformats.org/officeDocument/2006/relationships/image" Target="media/3dce2f8de56625136be9b1b07dbe9150f7974150.png"/><Relationship Id="rId11" Type="http://schemas.openxmlformats.org/officeDocument/2006/relationships/image" Target="media/cbe8aab388b84220361d5110daff3f04e8575569.png"/><Relationship Id="rId12" Type="http://schemas.openxmlformats.org/officeDocument/2006/relationships/image" Target="media/38e103ec89c510df866cd1d9bee2e8418cad00f8.png"/><Relationship Id="rId13" Type="http://schemas.openxmlformats.org/officeDocument/2006/relationships/image" Target="media/a867dc5f86932fa3e578d7e008cde5ec27e50b4f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2026-08-27T14:59:43.521Z</dcterms:created>
  <dcterms:modified xsi:type="dcterms:W3CDTF">2026-08-27T14:59:43.535Z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