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jc w:val="center"/>
      </w:pPr>
      <w:r>
        <w:rPr>
          <w:rFonts w:ascii="Aptos Display" w:hAnsi="Aptos Display"/>
          <w:b/>
          <w:color w:val="223B68"/>
          <w:sz w:val="48"/>
        </w:rPr>
        <w:t>ServiceDesk</w:t>
      </w:r>
    </w:p>
    <w:p>
      <w:pPr>
        <w:widowControl/>
        <w:jc w:val="center"/>
      </w:pPr>
      <w:r>
        <w:rPr>
          <w:rFonts w:ascii="Aptos Display" w:hAnsi="Aptos Display"/>
          <w:b/>
          <w:color w:val="223B68"/>
          <w:sz w:val="56"/>
        </w:rPr>
        <w:t>Análisis OOA&amp;D — Ticket Service</w:t>
      </w:r>
    </w:p>
    <w:p>
      <w:pPr>
        <w:widowControl/>
        <w:jc w:val="center"/>
      </w:pPr>
      <w:r>
        <w:rPr>
          <w:sz w:val="24"/>
        </w:rPr>
        <w:t>Diagrama de estados, modelo de clases del dominio y diagramas de secuencia de los flujos críticos</w:t>
      </w:r>
    </w:p>
    <w:p>
      <w:pPr>
        <w:widowControl/>
      </w:pPr>
    </w:p>
    <w:p>
      <w:pPr>
        <w:widowControl/>
        <w:jc w:val="center"/>
      </w:pPr>
      <w:r>
        <w:rPr>
          <w:b/>
          <w:color w:val="223B68"/>
          <w:sz w:val="28"/>
        </w:rPr>
        <w:t>ACME</w:t>
      </w:r>
    </w:p>
    <w:p>
      <w:pPr>
        <w:widowControl/>
        <w:jc w:val="center"/>
      </w:pPr>
      <w:r>
        <w:rPr>
          <w:sz w:val="22"/>
        </w:rPr>
        <w:t>Versión 0.2 | 7 de septiembre de 2026</w:t>
      </w:r>
    </w:p>
    <w:p>
      <w:pPr>
        <w:widowControl/>
        <w:jc w:val="center"/>
      </w:pPr>
      <w:r>
        <w:rPr>
          <w:i/>
          <w:color w:val="5A5A5A"/>
          <w:sz w:val="19"/>
        </w:rPr>
        <w:t>Revisión del modelo durante Issue #4 — Review Ticket Service OOA&amp;D Model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Control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096"/>
            <w:shd w:fill="223B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6696"/>
            <w:shd w:fill="223B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Documento</w:t>
            </w:r>
          </w:p>
        </w:tc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ServiceDesk – Análisis OOA&amp;D: Ticket Service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Versión</w:t>
            </w:r>
          </w:p>
        </w:tc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0.2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Fecha</w:t>
            </w:r>
          </w:p>
        </w:tc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7 de septiembre de 2026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Estado</w:t>
            </w:r>
          </w:p>
        </w:tc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Borrador revisado para cierre del Issue #4; decisiones abiertas pasan al Issue #5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Origen</w:t>
            </w:r>
          </w:p>
        </w:tc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ServiceDesk_Requerimientos_Candidatos v0.1; ServiceDesk_Plan_Desarrollo_MVP v1.0; Feature Baseline v1.0; revisión de dominio de septiembre de 2026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Propósito</w:t>
            </w:r>
          </w:p>
        </w:tc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Modelar el comportamiento y las reglas del dominio del Ticket Service antes de su implementación, cerrando la brecha entre requerimientos, arquitectura y código.</w:t>
            </w:r>
          </w:p>
        </w:tc>
      </w:tr>
    </w:tbl>
    <w:p>
      <w:pPr>
        <w:pStyle w:val="Heading2"/>
        <w:widowControl/>
      </w:pPr>
      <w:r>
        <w:t>Cambios incorporados en la versión 0.2</w:t>
      </w:r>
    </w:p>
    <w:p>
      <w:pPr>
        <w:pStyle w:val="ListBullet"/>
        <w:widowControl/>
      </w:pPr>
      <w:r>
        <w:t>Se distingue la responsabilidad del equipo (OwnerTeamId) de la asignación operativa a una persona (AssignedUserId).</w:t>
      </w:r>
    </w:p>
    <w:p>
      <w:pPr>
        <w:pStyle w:val="ListBullet"/>
        <w:widowControl/>
      </w:pPr>
      <w:r>
        <w:t>Se incorpora RequesterId de forma explícita y se modela UserId como value object basado en el correo corporativo.</w:t>
      </w:r>
    </w:p>
    <w:p>
      <w:pPr>
        <w:pStyle w:val="ListBullet"/>
        <w:widowControl/>
      </w:pPr>
      <w:r>
        <w:t>Se establece que todos los usuarios del MVP son internos de ACME; no existen usuarios externos. Los usuarios inactivos se conservan para mantener trazabilidad histórica.</w:t>
      </w:r>
    </w:p>
    <w:p>
      <w:pPr>
        <w:pStyle w:val="ListBullet"/>
        <w:widowControl/>
      </w:pPr>
      <w:r>
        <w:t>Se amplía la clasificación del ticket mediante TicketClassification, con ServiceArea, Category, Subcategory y una referencia opcional al Configuration Item afectado.</w:t>
      </w:r>
    </w:p>
    <w:p>
      <w:pPr>
        <w:pStyle w:val="ListBullet"/>
        <w:widowControl/>
      </w:pPr>
      <w:r>
        <w:t>Se incorpora ConfigurationItemReference como referencia ligera; el MVP no implementa una CMDB ni integración con inventario.</w:t>
      </w:r>
    </w:p>
    <w:p>
      <w:pPr>
        <w:pStyle w:val="ListBullet"/>
        <w:widowControl/>
      </w:pPr>
      <w:r>
        <w:t>Se actualiza AiRecommendation para poder proponer una clasificación más completa y señalar información faltante.</w:t>
      </w:r>
    </w:p>
    <w:p>
      <w:pPr>
        <w:pStyle w:val="ListBullet"/>
        <w:widowControl/>
      </w:pPr>
      <w:r>
        <w:t>Se revisan invariantes, handoff y secuencias para reflejar ownership por equipo y asignación individual.</w:t>
      </w:r>
    </w:p>
    <w:p>
      <w:pPr>
        <w:pStyle w:val="Heading2"/>
        <w:widowControl/>
      </w:pPr>
      <w:r>
        <w:t>Alcance de este análisis</w:t>
      </w:r>
    </w:p>
    <w:p>
      <w:pPr>
        <w:widowControl/>
      </w:pPr>
      <w:r>
        <w:t>Este análisis se enfoca exclusivamente en el Ticket Service, por ser el bounded context con mayor complejidad de comportamiento: estados, transiciones, clasificación, ownership, asignación de agentes, handoff y trazabilidad. Identity Service, Reporting Service y el AI Agent Service se modelan aquí únicamente en los puntos de integración que afectan al Ticket Service.</w:t>
      </w:r>
    </w:p>
    <w:p>
      <w:pPr>
        <w:widowControl/>
      </w:pPr>
      <w:r>
        <w:t>El documento debe servir como referencia directa para implementar el aggregate Ticket y sus pruebas de dominio. Las decisiones todavía no cerradas se identifican expresamente y deben resolverse en el Issue #5 antes de congelar el modelo para implementación.</w:t>
      </w:r>
    </w:p>
    <w:p>
      <w:pPr>
        <w:pStyle w:val="Heading1"/>
        <w:widowControl/>
      </w:pPr>
      <w:r>
        <w:t>1. Diagrama de estados del ticket</w:t>
      </w:r>
    </w:p>
    <w:p>
      <w:pPr>
        <w:widowControl/>
      </w:pPr>
      <w:r>
        <w:t>Los estados representan la evolución operativa del ticket. La versión 0.2 aclara que el estado Asignado exige un equipo responsable, pero no necesariamente un agente individual: un ticket puede permanecer en la cola de un equipo hasta que una persona lo tome.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989320" cy="13053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v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305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jc w:val="center"/>
      </w:pPr>
      <w:r>
        <w:rPr>
          <w:i/>
          <w:color w:val="5A5A5A"/>
          <w:sz w:val="18"/>
        </w:rPr>
        <w:t>Figura 1. Diagrama de estados revisado del aggregate Ticket.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728"/>
            <w:shd w:fill="223B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4896"/>
            <w:shd w:fill="223B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Significado</w:t>
            </w:r>
          </w:p>
        </w:tc>
        <w:tc>
          <w:tcPr>
            <w:tcW w:type="dxa" w:w="3168"/>
            <w:shd w:fill="223B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Cómo se entra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Nuevo</w:t>
            </w:r>
          </w:p>
        </w:tc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Ticket creado por un usuario interno de ACME; aún no tiene triage confirmado.</w:t>
            </w:r>
          </w:p>
        </w:tc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Creación del ticket.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Clasificado</w:t>
            </w:r>
          </w:p>
        </w:tc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Tipo, área, categoría, subcategoría, prioridad y CI afectado cuando corresponda han sido confirmados por un humano, con o sin ayuda de IA.</w:t>
            </w:r>
          </w:p>
        </w:tc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Confirmación o ajuste del triage.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Asignado</w:t>
            </w:r>
          </w:p>
        </w:tc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Tiene un OwnerTeamId vigente. Puede tener AssignedUserId o permanecer sin agente individual mientras está en la cola del equipo.</w:t>
            </w:r>
          </w:p>
        </w:tc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Asignación inicial, handoff aceptado, devolución o reapertura.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PendienteHandoff</w:t>
            </w:r>
          </w:p>
        </w:tc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Existe una solicitud de transferencia a otro equipo. El OwnerTeamId no cambia mientras la solicitud esté pendiente.</w:t>
            </w:r>
          </w:p>
        </w:tc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Solicitud de handoff.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Resuelto</w:t>
            </w:r>
          </w:p>
        </w:tc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El agente considera solucionado el caso; todavía no existe cierre definitivo.</w:t>
            </w:r>
          </w:p>
        </w:tc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Resolución por el agente responsable.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Cerrado</w:t>
            </w:r>
          </w:p>
        </w:tc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Cierre definitivo, con confirmación o ausencia de objeción según la regla que se defina.</w:t>
            </w:r>
          </w:p>
        </w:tc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Confirmación explícita o vencimiento del plazo.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widowControl/>
      </w:pPr>
      <w:r>
        <w:t>2. Modelo de clases del dominio</w:t>
      </w:r>
    </w:p>
    <w:p>
      <w:pPr>
        <w:widowControl/>
      </w:pPr>
      <w:r>
        <w:t>El modelo revisado mantiene Ticket como aggregate root e incorpora tres distinciones que resultan necesarias para el MVP: quién reporta el caso, qué equipo es responsable y qué persona lo atiende; además, amplía la clasificación para describir el servicio o elemento afectado sin convertir el Ticket Service en una CMDB.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6080760" cy="50740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v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074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jc w:val="center"/>
      </w:pPr>
      <w:r>
        <w:rPr>
          <w:i/>
          <w:color w:val="5A5A5A"/>
          <w:sz w:val="18"/>
        </w:rPr>
        <w:t>Figura 2. Modelo de clases del dominio revisado — aggregate Ticket y entidades relacionadas.</w:t>
      </w:r>
    </w:p>
    <w:p>
      <w:pPr>
        <w:pStyle w:val="Heading2"/>
        <w:widowControl/>
      </w:pPr>
      <w:r>
        <w:t>2.1 Decisiones de límite de aggregate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448"/>
            <w:shd w:fill="223B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3168"/>
            <w:shd w:fill="223B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Decisión</w:t>
            </w:r>
          </w:p>
        </w:tc>
        <w:tc>
          <w:tcPr>
            <w:tcW w:type="dxa" w:w="4176"/>
            <w:shd w:fill="223B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Justificación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Handoff, TicketComment, TicketHistoryEntry</w:t>
            </w:r>
          </w:p>
        </w:tc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Entidades hijas dentro del aggregate Ticket.</w:t>
            </w:r>
          </w:p>
        </w:tc>
        <w:tc>
          <w:tcPr>
            <w:tcW w:type="dxa" w:w="41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Su ciclo de vida depende del ticket y deben persistirse en la misma transacción que los cambios que representan.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AiRecommendation</w:t>
            </w:r>
          </w:p>
        </w:tc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Aggregate independiente, referenciado por TicketId.</w:t>
            </w:r>
          </w:p>
        </w:tc>
        <w:tc>
          <w:tcPr>
            <w:tcW w:type="dxa" w:w="41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La IA produce recomendaciones de forma asíncrona. Mantenerlas separadas evita conflictos de concurrencia y preserva el principio de que la IA no modifica el Ticket directamente.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Team, Category, Subcategory, UserReference</w:t>
            </w:r>
          </w:p>
        </w:tc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Referencias / lookup fuera del aggregate.</w:t>
            </w:r>
          </w:p>
        </w:tc>
        <w:tc>
          <w:tcPr>
            <w:tcW w:type="dxa" w:w="41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Ticket conserva identificadores estables y no carga estas referencias dentro de su límite de consistencia.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ConfigurationItemReference</w:t>
            </w:r>
          </w:p>
        </w:tc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Value Object dentro de TicketClassification.</w:t>
            </w:r>
          </w:p>
        </w:tc>
        <w:tc>
          <w:tcPr>
            <w:tcW w:type="dxa" w:w="41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Representa el elemento afectado sin introducir una CMDB, inventario o integración externa dentro del MVP.</w:t>
            </w:r>
          </w:p>
        </w:tc>
      </w:tr>
    </w:tbl>
    <w:p>
      <w:pPr>
        <w:pStyle w:val="Heading2"/>
        <w:widowControl/>
      </w:pPr>
      <w:r>
        <w:t>2.2 Usuarios internos e identidad de dominio</w:t>
      </w:r>
    </w:p>
    <w:p>
      <w:pPr>
        <w:widowControl/>
      </w:pPr>
      <w:r>
        <w:t>Todos los usuarios del ServiceDesk MVP pertenecen a ACME. El modelo no contempla clientes o reportantes externos. El correo corporativo se adopta como identificador natural del usuario dentro del dominio y se encapsula en el value object UserId.</w:t>
      </w:r>
    </w:p>
    <w:p>
      <w:pPr>
        <w:pStyle w:val="ListBullet"/>
        <w:widowControl/>
      </w:pPr>
      <w:r>
        <w:t>UserId contiene el correo corporativo y se considera único e inmutable durante la vida de la identidad dentro de ServiceDesk.</w:t>
      </w:r>
    </w:p>
    <w:p>
      <w:pPr>
        <w:pStyle w:val="ListBullet"/>
        <w:widowControl/>
      </w:pPr>
      <w:r>
        <w:t>RequesterId identifica al empleado que reportó el ticket y siempre es obligatorio.</w:t>
      </w:r>
    </w:p>
    <w:p>
      <w:pPr>
        <w:pStyle w:val="ListBullet"/>
        <w:widowControl/>
      </w:pPr>
      <w:r>
        <w:t>AssignedUserId identifica al agente o ingeniero que atiende actualmente el ticket y es opcional.</w:t>
      </w:r>
    </w:p>
    <w:p>
      <w:pPr>
        <w:pStyle w:val="ListBullet"/>
        <w:widowControl/>
      </w:pPr>
      <w:r>
        <w:t>Cuando una persona deja la organización, su UserReference se marca como inactiva y no se elimina, con el fin de preservar el historial.</w:t>
      </w:r>
    </w:p>
    <w:p>
      <w:pPr>
        <w:pStyle w:val="ListBullet"/>
        <w:widowControl/>
      </w:pPr>
      <w:r>
        <w:t>La integración con correo electrónico, Microsoft 365 o un directorio corporativo no forma parte del MVP. El uso del email como UserId no implica integración con el sistema de correo.</w:t>
      </w:r>
    </w:p>
    <w:p>
      <w:pPr>
        <w:pStyle w:val="Heading2"/>
        <w:widowControl/>
      </w:pPr>
      <w:r>
        <w:t>2.3 Ownership por equipo y asignación individual</w:t>
      </w:r>
    </w:p>
    <w:p>
      <w:pPr>
        <w:widowControl/>
      </w:pPr>
      <w:r>
        <w:t>El modelo separa responsabilidad organizacional y asignación operativa. OwnerTeamId identifica al equipo responsable del caso. AssignedUserId identifica a la persona que lo está trabajando. Esta separación permite representar una cola de equipo aunque ningún agente haya tomado aún el ticket.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223B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Concepto</w:t>
            </w:r>
          </w:p>
        </w:tc>
        <w:tc>
          <w:tcPr>
            <w:tcW w:type="dxa" w:w="7344"/>
            <w:shd w:fill="223B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Regla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OwnerTeamId</w:t>
            </w:r>
          </w:p>
        </w:tc>
        <w:tc>
          <w:tcPr>
            <w:tcW w:type="dxa" w:w="73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Obligatorio para todo ticket activo después de la asignación inicial. Representa responsabilidad organizacional.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AssignedUserId</w:t>
            </w:r>
          </w:p>
        </w:tc>
        <w:tc>
          <w:tcPr>
            <w:tcW w:type="dxa" w:w="73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Opcional. Representa a la persona que atiende el caso en ese momento.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Consistencia</w:t>
            </w:r>
          </w:p>
        </w:tc>
        <w:tc>
          <w:tcPr>
            <w:tcW w:type="dxa" w:w="73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Si AssignedUserId tiene valor, el usuario debe estar habilitado para operar dentro del OwnerTeamId.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Handoff Requested</w:t>
            </w:r>
          </w:p>
        </w:tc>
        <w:tc>
          <w:tcPr>
            <w:tcW w:type="dxa" w:w="73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El equipo propietario no cambia mientras el equipo receptor no acepte la transferencia.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Handoff Accepted</w:t>
            </w:r>
          </w:p>
        </w:tc>
        <w:tc>
          <w:tcPr>
            <w:tcW w:type="dxa" w:w="73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El OwnerTeamId cambia al equipo receptor. La decisión de limpiar AssignedUserId o asignarlo al agente que acepta se mantiene abierta para el Issue #5.</w:t>
            </w:r>
          </w:p>
        </w:tc>
      </w:tr>
    </w:tbl>
    <w:p>
      <w:pPr>
        <w:pStyle w:val="Heading2"/>
        <w:widowControl/>
      </w:pPr>
      <w:r>
        <w:t>2.4 Clasificación operativa y Configuration Item</w:t>
      </w:r>
    </w:p>
    <w:p>
      <w:pPr>
        <w:widowControl/>
      </w:pPr>
      <w:r>
        <w:t>Type, Category y Priority resultaban insuficientes para describir de forma útil problemas de aplicaciones, accesos, red o hardware. La versión 0.2 incorpora TicketClassification para representar la clasificación operativa sin llenar Ticket de campos booleanos específicos.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16"/>
            <w:shd w:fill="223B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608"/>
            <w:shd w:fill="223B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Propósito</w:t>
            </w:r>
          </w:p>
        </w:tc>
        <w:tc>
          <w:tcPr>
            <w:tcW w:type="dxa" w:w="3168"/>
            <w:shd w:fill="223B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Ejemplo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ServiceArea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Área general del servicio o tecnología afectada.</w:t>
            </w:r>
          </w:p>
        </w:tc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Application, IdentityAccess, Network, Hardware, Collaboration, Other.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CategoryId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Categoría estandarizada dentro del área.</w:t>
            </w:r>
          </w:p>
        </w:tc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ERP, Laptop, VPN, Network Access.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SubcategoryId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Detalle opcional que reduce ambigüedad.</w:t>
            </w:r>
          </w:p>
        </w:tc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Login, Battery, Performance, Connectivity.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AffectedItem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ConfigurationItemReference opcional para identificar el elemento afectado.</w:t>
            </w:r>
          </w:p>
        </w:tc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APP-SAP-PRD o ACME-LT-004382.</w:t>
            </w:r>
          </w:p>
        </w:tc>
      </w:tr>
    </w:tbl>
    <w:p>
      <w:pPr>
        <w:widowControl/>
      </w:pPr>
      <w:r>
        <w:t>ConfigurationItemReference contiene Type, Identifier y Name. En el MVP puede capturarse manualmente. No se implementará una CMDB completa ni una integración con inventarios; esas capacidades podrán añadirse posteriormente sin cambiar el concepto de clasificación del ticket.</w:t>
      </w:r>
    </w:p>
    <w:p>
      <w:pPr>
        <w:widowControl/>
      </w:pPr>
      <w:r>
        <w:rPr>
          <w:b/>
          <w:color w:val="223B68"/>
        </w:rPr>
        <w:t>Ejemplos de clasificación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744"/>
            <w:shd w:fill="223B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Caso</w:t>
            </w:r>
          </w:p>
        </w:tc>
        <w:tc>
          <w:tcPr>
            <w:tcW w:type="dxa" w:w="6048"/>
            <w:shd w:fill="223B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Clasificación resultante</w:t>
            </w:r>
          </w:p>
        </w:tc>
      </w:tr>
      <w:tr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“No puedo entrar a SAP”</w:t>
            </w:r>
          </w:p>
        </w:tc>
        <w:tc>
          <w:tcPr>
            <w:tcW w:type="dxa" w:w="60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Area=Application; Category=ERP; Subcategory=Login; AffectedItem=SAP Production.</w:t>
            </w:r>
          </w:p>
        </w:tc>
      </w:tr>
      <w:tr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“La laptop no enciende”</w:t>
            </w:r>
          </w:p>
        </w:tc>
        <w:tc>
          <w:tcPr>
            <w:tcW w:type="dxa" w:w="60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Area=Hardware; Category=Laptop; Subcategory=Power; AffectedItem=asset tag corporativo.</w:t>
            </w:r>
          </w:p>
        </w:tc>
      </w:tr>
      <w:tr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“No puedo autenticarme en VPN”</w:t>
            </w:r>
          </w:p>
        </w:tc>
        <w:tc>
          <w:tcPr>
            <w:tcW w:type="dxa" w:w="60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Area=IdentityAccess o Network según la regla de catálogo; Category=VPN; Subcategory=Login; CI opcional.</w:t>
            </w:r>
          </w:p>
        </w:tc>
      </w:tr>
    </w:tbl>
    <w:p>
      <w:pPr>
        <w:pStyle w:val="Heading2"/>
        <w:widowControl/>
      </w:pPr>
      <w:r>
        <w:t>2.5 Invariantes que el aggregate debe proteger</w:t>
      </w:r>
    </w:p>
    <w:p>
      <w:pPr>
        <w:pStyle w:val="ListBullet"/>
        <w:widowControl/>
      </w:pPr>
      <w:r>
        <w:t>Todo ticket tiene un RequesterId válido correspondiente a un usuario interno de ACME.</w:t>
      </w:r>
    </w:p>
    <w:p>
      <w:pPr>
        <w:pStyle w:val="ListBullet"/>
        <w:widowControl/>
      </w:pPr>
      <w:r>
        <w:t>Después de la asignación inicial, todo ticket activo tiene exactamente un OwnerTeamId.</w:t>
      </w:r>
    </w:p>
    <w:p>
      <w:pPr>
        <w:pStyle w:val="ListBullet"/>
        <w:widowControl/>
      </w:pPr>
      <w:r>
        <w:t>AssignedUserId es opcional. Cuando existe, debe corresponder a un usuario activo y autorizado para trabajar dentro del OwnerTeamId.</w:t>
      </w:r>
    </w:p>
    <w:p>
      <w:pPr>
        <w:pStyle w:val="ListBullet"/>
        <w:widowControl/>
      </w:pPr>
      <w:r>
        <w:t>El ownership de equipo solo cambia mediante operaciones de dominio; nunca por edición directa de OwnerTeamId.</w:t>
      </w:r>
    </w:p>
    <w:p>
      <w:pPr>
        <w:pStyle w:val="ListBullet"/>
        <w:widowControl/>
      </w:pPr>
      <w:r>
        <w:t>Durante un Handoff en estado Requested, el OwnerTeamId permanece sin cambios hasta que el equipo receptor acepte.</w:t>
      </w:r>
    </w:p>
    <w:p>
      <w:pPr>
        <w:pStyle w:val="ListBullet"/>
        <w:widowControl/>
      </w:pPr>
      <w:r>
        <w:t>No puede existir más de un Handoff Requested sin resolver para el mismo ticket.</w:t>
      </w:r>
    </w:p>
    <w:p>
      <w:pPr>
        <w:pStyle w:val="ListBullet"/>
        <w:widowControl/>
      </w:pPr>
      <w:r>
        <w:t>La clasificación se modifica mediante Reclassify(...) y cada cambio debe conservar trazabilidad.</w:t>
      </w:r>
    </w:p>
    <w:p>
      <w:pPr>
        <w:pStyle w:val="ListBullet"/>
        <w:widowControl/>
      </w:pPr>
      <w:r>
        <w:t>AffectedItem puede ser nulo, pero cuando la categoría requiera un CI o asset para escalación, la validación del handoff debe exigirlo.</w:t>
      </w:r>
    </w:p>
    <w:p>
      <w:pPr>
        <w:pStyle w:val="ListBullet"/>
        <w:widowControl/>
      </w:pPr>
      <w:r>
        <w:t>Un ticket no puede pasar directamente a Cerrado sin haber pasado por Resuelto.</w:t>
      </w:r>
    </w:p>
    <w:p>
      <w:pPr>
        <w:pStyle w:val="ListBullet"/>
        <w:widowControl/>
      </w:pPr>
      <w:r>
        <w:t>Toda transición de estado, cambio de equipo, asignación de agente y reclasificación relevante genera TicketHistoryEntry.</w:t>
      </w:r>
    </w:p>
    <w:p>
      <w:pPr>
        <w:pStyle w:val="ListBullet"/>
        <w:widowControl/>
      </w:pPr>
      <w:r>
        <w:t>AiRecommendation nunca modifica Ticket directamente; una acción humana aplica, modifica o rechaza sus valores propuestos.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3. Diagramas de secuencia de los flujos críticos</w:t>
      </w:r>
    </w:p>
    <w:p>
      <w:pPr>
        <w:pStyle w:val="Heading2"/>
        <w:widowControl/>
      </w:pPr>
      <w:r>
        <w:t>3.1 Creación del ticket y triage asistido por IA</w:t>
      </w:r>
    </w:p>
    <w:p>
      <w:pPr>
        <w:widowControl/>
      </w:pPr>
      <w:r>
        <w:t>La creación conserva un RequesterId interno. El AI Agent puede proponer tipo, área, categoría, subcategoría, prioridad, equipo y CI afectado, además de indicar información faltante. Un humano confirma o ajusta la recomendación antes de modificar el aggregate Ticket.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989320" cy="29131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triage_v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913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jc w:val="center"/>
      </w:pPr>
      <w:r>
        <w:rPr>
          <w:i/>
          <w:color w:val="5A5A5A"/>
          <w:sz w:val="18"/>
        </w:rPr>
        <w:t>Figura 3. Secuencia revisada: creación y triage.</w:t>
      </w:r>
    </w:p>
    <w:p>
      <w:pPr>
        <w:widowControl/>
      </w:pPr>
      <w:r>
        <w:t>Punto de diseño relevante: la IA puede inferir o sugerir información, pero no sustituye la confirmación humana. La clasificación resultante se almacena en TicketClassification y el AI Agent puede indicar explícitamente MissingInfo cuando no sea posible completar el triage con la información disponible.</w:t>
      </w:r>
    </w:p>
    <w:p>
      <w:pPr>
        <w:pStyle w:val="Heading2"/>
        <w:widowControl/>
      </w:pPr>
      <w:r>
        <w:t>3.2 Solicitud de handoff, validación y resolución</w:t>
      </w:r>
    </w:p>
    <w:p>
      <w:pPr>
        <w:widowControl/>
      </w:pPr>
      <w:r>
        <w:t>La validación previa al handoff puede depender de la clasificación del ticket. Por ejemplo, un caso de hardware puede requerir tipo de dispositivo y asset tag, mientras un caso de aplicación puede requerir aplicación, entorno y error observado. El modelo permite estas validaciones sin convertir todos los campos en propiedades permanentes del Ticket.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989320" cy="28474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handoff_v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847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jc w:val="center"/>
      </w:pPr>
      <w:r>
        <w:rPr>
          <w:i/>
          <w:color w:val="5A5A5A"/>
          <w:sz w:val="18"/>
        </w:rPr>
        <w:t>Figura 4. Secuencia revisada: escalamiento L1→L2.</w:t>
      </w:r>
    </w:p>
    <w:p>
      <w:pPr>
        <w:widowControl/>
      </w:pPr>
      <w:r>
        <w:t>Puntos de diseño relevantes: el equipo propietario conserva responsabilidad mientras el Handoff esté Requested. La aceptación transfiere el ownership de equipo. La asignación individual puede ocurrir después de la transferencia; el comportamiento exacto al aceptar queda como decisión abierta del Issue #5.</w:t>
      </w:r>
    </w:p>
    <w:p>
      <w:pPr>
        <w:pStyle w:val="Heading2"/>
        <w:widowControl/>
      </w:pPr>
      <w:r>
        <w:t>3.3 Resolución, cierre y reapertura</w:t>
      </w:r>
    </w:p>
    <w:p>
      <w:pPr>
        <w:widowControl/>
      </w:pPr>
      <w:r>
        <w:t>El cierre continúa pasando por Resuelto antes de Cerrado. El RequesterId permite vincular explícitamente la confirmación o reapertura con el usuario que reportó el caso. Reporting Service se mantiene desacoplado y recibe eventos del Ticket Service.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989320" cy="28447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close_v0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844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jc w:val="center"/>
      </w:pPr>
      <w:r>
        <w:rPr>
          <w:i/>
          <w:color w:val="5A5A5A"/>
          <w:sz w:val="18"/>
        </w:rPr>
        <w:t>Figura 5. Secuencia revisada: resolución, cierre y reapertura.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4. Decisiones abiertas para el Issue #5</w:t>
      </w:r>
    </w:p>
    <w:p>
      <w:pPr>
        <w:widowControl/>
      </w:pPr>
      <w:r>
        <w:t>La revisión del Issue #4 identifica los siguientes puntos que todavía requieren una decisión explícita antes de congelar el modelo para implementación: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168"/>
            <w:shd w:fill="223B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Decisión</w:t>
            </w:r>
          </w:p>
        </w:tc>
        <w:tc>
          <w:tcPr>
            <w:tcW w:type="dxa" w:w="6624"/>
            <w:shd w:fill="223B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Pregunta a resolver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Asignación al aceptar un handoff</w:t>
            </w:r>
          </w:p>
        </w:tc>
        <w:tc>
          <w:tcPr>
            <w:tcW w:type="dxa" w:w="66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Definir si AssignedUserId queda vacío para que el equipo receptor tome el ticket desde su cola, o si el agente que acepta el handoff queda asignado automáticamente.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Redirecciones de handoff</w:t>
            </w:r>
          </w:p>
        </w:tc>
        <w:tc>
          <w:tcPr>
            <w:tcW w:type="dxa" w:w="66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Definir si se permiten múltiples redirecciones antes de resolver un Handoff o si se limita a un solo salto.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Cierre sin objeción</w:t>
            </w:r>
          </w:p>
        </w:tc>
        <w:tc>
          <w:tcPr>
            <w:tcW w:type="dxa" w:w="66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Definir plazo, mecanismo y valor por defecto para cerrar un ticket Resuelto cuando el requester no responde.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Catálogo de clasificación</w:t>
            </w:r>
          </w:p>
        </w:tc>
        <w:tc>
          <w:tcPr>
            <w:tcW w:type="dxa" w:w="66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Congelar los valores iniciales de ServiceArea, Category y Subcategory suficientes para el MVP.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Reglas de CI obligatorio</w:t>
            </w:r>
          </w:p>
        </w:tc>
        <w:tc>
          <w:tcPr>
            <w:tcW w:type="dxa" w:w="66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Definir qué categorías o handoffs exigen AffectedItem y qué información mínima debe contener.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Membresía de agentes</w:t>
            </w:r>
          </w:p>
        </w:tc>
        <w:tc>
          <w:tcPr>
            <w:tcW w:type="dxa" w:w="66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Confirmar cómo Ticket Service valida que AssignedUserId pertenece o está autorizado para OwnerTeamId: referencia local sincronizada o validación a través de Identity Service.</w:t>
            </w:r>
          </w:p>
        </w:tc>
      </w:tr>
    </w:tbl>
    <w:p>
      <w:pPr>
        <w:pStyle w:val="Heading1"/>
        <w:widowControl/>
      </w:pPr>
      <w:r>
        <w:t>5. Próximos pasos sugeridos</w:t>
      </w:r>
    </w:p>
    <w:p>
      <w:pPr>
        <w:pStyle w:val="ListBullet"/>
        <w:widowControl/>
      </w:pPr>
      <w:r>
        <w:t>Cerrar formalmente el Issue #4 una vez aceptados los cambios de esta versión 0.2.</w:t>
      </w:r>
    </w:p>
    <w:p>
      <w:pPr>
        <w:pStyle w:val="ListBullet"/>
        <w:widowControl/>
      </w:pPr>
      <w:r>
        <w:t>Resolver las decisiones de la sección 4 en el Issue #5 y documentarlas como reglas de dominio definitivas.</w:t>
      </w:r>
    </w:p>
    <w:p>
      <w:pPr>
        <w:pStyle w:val="ListBullet"/>
        <w:widowControl/>
      </w:pPr>
      <w:r>
        <w:t>Actualizar el diagrama de clases y las invariantes si alguna decisión del Issue #5 cambia el comportamiento propuesto.</w:t>
      </w:r>
    </w:p>
    <w:p>
      <w:pPr>
        <w:pStyle w:val="ListBullet"/>
        <w:widowControl/>
      </w:pPr>
      <w:r>
        <w:t>Convertir las invariantes de la sección 2.5 en pruebas unitarias del aggregate Ticket antes de implementar métodos de comportamiento.</w:t>
      </w:r>
    </w:p>
    <w:p>
      <w:pPr>
        <w:pStyle w:val="ListBullet"/>
        <w:widowControl/>
      </w:pPr>
      <w:r>
        <w:t>Mantener fuera del MVP la integración con correo, directorio corporativo, CMDB o inventario; usar referencias locales/simuladas cuando sea necesario para desarrollo y pruebas.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5A5A5A"/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A5A5A"/>
        <w:sz w:val="16"/>
      </w:rPr>
      <w:t>ServiceDesk — Análisis OOA&amp;D: Ticket Service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23B6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23B6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23B6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23B6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