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left"/>
      </w:pPr>
      <w:r>
        <w:rPr>
          <w:rFonts w:ascii="Cambria" w:hAnsi="Cambria"/>
          <w:b/>
          <w:i w:val="0"/>
          <w:color w:val="17365D"/>
          <w:sz w:val="40"/>
        </w:rPr>
        <w:t>ServiceDesk</w:t>
      </w:r>
    </w:p>
    <w:p>
      <w:pPr>
        <w:spacing w:after="160"/>
      </w:pPr>
      <w:r>
        <w:rPr>
          <w:rFonts w:ascii="Cambria" w:hAnsi="Cambria"/>
          <w:b/>
          <w:i w:val="0"/>
          <w:color w:val="17365D"/>
          <w:sz w:val="52"/>
        </w:rPr>
        <w:t>Requerimientos Finales</w:t>
      </w:r>
    </w:p>
    <w:p>
      <w:pPr>
        <w:spacing w:after="440"/>
      </w:pPr>
      <w:r>
        <w:rPr>
          <w:rFonts w:ascii="Cambria" w:hAnsi="Cambria"/>
          <w:b w:val="0"/>
          <w:i w:val="0"/>
          <w:color w:val="2F5597"/>
          <w:sz w:val="28"/>
        </w:rPr>
        <w:t>Baseline funcional y técnica derivada de Discovery Stage 0</w:t>
      </w:r>
    </w:p>
    <w:p>
      <w:pPr>
        <w:spacing w:after="120"/>
      </w:pPr>
      <w:r>
        <w:rPr>
          <w:rFonts w:ascii="Cambria" w:hAnsi="Cambria"/>
          <w:b/>
          <w:i w:val="0"/>
          <w:color w:val="666666"/>
          <w:sz w:val="28"/>
        </w:rPr>
        <w:t>ACME</w:t>
      </w:r>
    </w:p>
    <w:p>
      <w:r>
        <w:rPr>
          <w:rFonts w:ascii="Cambria" w:hAnsi="Cambria"/>
          <w:b w:val="0"/>
          <w:i w:val="0"/>
          <w:color w:val="666666"/>
          <w:sz w:val="22"/>
        </w:rPr>
        <w:t>Versión 1.0 | 24 de agosto de 2026</w:t>
      </w:r>
    </w:p>
    <w:p>
      <w:r>
        <w:rPr>
          <w:rFonts w:ascii="Cambria" w:hAnsi="Cambria"/>
          <w:b w:val="0"/>
          <w:i w:val="0"/>
          <w:color w:val="666666"/>
          <w:sz w:val="21"/>
        </w:rPr>
        <w:t>Estado: Baseline para planificación del MVP de aprendizaje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sz w:val="21"/>
              </w:rPr>
              <w:t>Campo</w:t>
            </w:r>
          </w:p>
        </w:tc>
        <w:tc>
          <w:tcPr>
            <w:tcW w:type="dxa" w:w="770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sz w:val="21"/>
              </w:rPr>
              <w:t>Valor</w:t>
            </w:r>
          </w:p>
        </w:tc>
      </w:tr>
      <w:tr>
        <w:trPr>
          <w:cantSplit/>
        </w:trPr>
        <w:tc>
          <w:tcPr>
            <w:tcW w:type="dxa" w:w="2232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sz w:val="20"/>
              </w:rPr>
              <w:t>Documento</w:t>
            </w:r>
          </w:p>
        </w:tc>
        <w:tc>
          <w:tcPr>
            <w:tcW w:type="dxa" w:w="7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20"/>
              </w:rPr>
              <w:t>ServiceDesk — Requerimientos Finales</w:t>
            </w:r>
          </w:p>
        </w:tc>
      </w:tr>
      <w:tr>
        <w:trPr>
          <w:cantSplit/>
        </w:trPr>
        <w:tc>
          <w:tcPr>
            <w:tcW w:type="dxa" w:w="2232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sz w:val="20"/>
              </w:rPr>
              <w:t>Versión</w:t>
            </w:r>
          </w:p>
        </w:tc>
        <w:tc>
          <w:tcPr>
            <w:tcW w:type="dxa" w:w="7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2232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sz w:val="20"/>
              </w:rPr>
              <w:t>Fecha</w:t>
            </w:r>
          </w:p>
        </w:tc>
        <w:tc>
          <w:tcPr>
            <w:tcW w:type="dxa" w:w="7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20"/>
              </w:rPr>
              <w:t>24 de agosto de 2026</w:t>
            </w:r>
          </w:p>
        </w:tc>
      </w:tr>
      <w:tr>
        <w:trPr>
          <w:cantSplit/>
        </w:trPr>
        <w:tc>
          <w:tcPr>
            <w:tcW w:type="dxa" w:w="2232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sz w:val="20"/>
              </w:rPr>
              <w:t>Estado</w:t>
            </w:r>
          </w:p>
        </w:tc>
        <w:tc>
          <w:tcPr>
            <w:tcW w:type="dxa" w:w="7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20"/>
              </w:rPr>
              <w:t>Baseline de trabajo para MVP y desarrollo</w:t>
            </w:r>
          </w:p>
        </w:tc>
      </w:tr>
      <w:tr>
        <w:trPr>
          <w:cantSplit/>
        </w:trPr>
        <w:tc>
          <w:tcPr>
            <w:tcW w:type="dxa" w:w="2232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sz w:val="20"/>
              </w:rPr>
              <w:t>Origen</w:t>
            </w:r>
          </w:p>
        </w:tc>
        <w:tc>
          <w:tcPr>
            <w:tcW w:type="dxa" w:w="7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20"/>
              </w:rPr>
              <w:t>Discovery Stage 0 v0.1 + Requerimientos Candidatos v0.1 + decisiones de depuración y objetivos técnicos de aprendizaje</w:t>
            </w:r>
          </w:p>
        </w:tc>
      </w:tr>
      <w:tr>
        <w:trPr>
          <w:cantSplit/>
        </w:trPr>
        <w:tc>
          <w:tcPr>
            <w:tcW w:type="dxa" w:w="2232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sz w:val="20"/>
              </w:rPr>
              <w:t>Propósito</w:t>
            </w:r>
          </w:p>
        </w:tc>
        <w:tc>
          <w:tcPr>
            <w:tcW w:type="dxa" w:w="7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20"/>
              </w:rPr>
              <w:t>Consolidar requerimientos funcionales, reglas de negocio, seguridad, AI y restricciones de ingeniería en una base coherente para planificar el MVP.</w:t>
            </w:r>
          </w:p>
        </w:tc>
      </w:tr>
    </w:tbl>
    <w:p/>
    <w:p>
      <w:pPr>
        <w:pStyle w:val="Heading1"/>
      </w:pPr>
      <w:r>
        <w:t>1. Propósito y criterio de depuración</w:t>
      </w:r>
    </w:p>
    <w:p>
      <w:pPr>
        <w:spacing w:after="100"/>
      </w:pPr>
      <w:r>
        <w:rPr>
          <w:rFonts w:ascii="Cambria" w:hAnsi="Cambria"/>
          <w:b w:val="0"/>
          <w:i w:val="0"/>
          <w:sz w:val="22"/>
        </w:rPr>
        <w:t>Este documento sustituye el listado de requerimientos candidatos como baseline de trabajo. Mantiene la trazabilidad con los hallazgos F-xx y necesidades N-xx del Discovery, pero separa capacidades funcionales, reglas de negocio, seguridad, gobierno y objetivos técnicos de aprendizaje.</w:t>
      </w:r>
    </w:p>
    <w:p>
      <w:pPr>
        <w:spacing w:after="100"/>
      </w:pPr>
      <w:r>
        <w:rPr>
          <w:rFonts w:ascii="Cambria" w:hAnsi="Cambria"/>
          <w:b w:val="0"/>
          <w:i w:val="0"/>
          <w:sz w:val="22"/>
        </w:rPr>
        <w:t>La depuración eliminó formulaciones que imponían una solución no validada. Por ejemplo, la captura automática desde cualquier canal, la knowledge base y varias decisiones de métricas se movieron a backlog, gobierno o fases posteriores. También se agregaron capacidades que estaban implícitas pero no habían sido redactadas: ciclo de vida, notas internas, evidencias, duplicados, auditoría general, autenticación y autorización.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0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mbria" w:hAnsi="Cambria"/>
                <w:b/>
                <w:i w:val="0"/>
                <w:color w:val="17365D"/>
                <w:sz w:val="21"/>
              </w:rPr>
              <w:t xml:space="preserve">Importante. </w:t>
            </w:r>
            <w:r>
              <w:rPr>
                <w:rFonts w:ascii="Cambria" w:hAnsi="Cambria"/>
                <w:b w:val="0"/>
                <w:i w:val="0"/>
                <w:sz w:val="21"/>
              </w:rPr>
              <w:t>Los requerimientos AI, CI/CD, Docker y microservicios no provienen de una necesidad de negocio expresada por ACME. Se incorporan de forma explícita como objetivos técnicos del proyecto de aprendizaje.</w:t>
            </w:r>
          </w:p>
        </w:tc>
      </w:tr>
    </w:tbl>
    <w:p/>
    <w:p>
      <w:pPr>
        <w:pStyle w:val="Heading1"/>
      </w:pPr>
      <w:r>
        <w:t>2. Principios de diseño heredados de Discovery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7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Principio</w:t>
            </w:r>
          </w:p>
        </w:tc>
        <w:tc>
          <w:tcPr>
            <w:tcW w:type="dxa" w:w="5903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Implicación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DP-01</w:t>
            </w:r>
          </w:p>
        </w:tc>
        <w:tc>
          <w:tcPr>
            <w:tcW w:type="dxa" w:w="30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Trazabilidad sin burocracia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control no debe duplicar el esfuerzo de resolver y registrar casos pequeños.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DP-02</w:t>
            </w:r>
          </w:p>
        </w:tc>
        <w:tc>
          <w:tcPr>
            <w:tcW w:type="dxa" w:w="30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Una identidad de caso a través de equipos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contexto e historial deben preservarse aunque cambie el área responsable.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DP-03</w:t>
            </w:r>
          </w:p>
        </w:tc>
        <w:tc>
          <w:tcPr>
            <w:tcW w:type="dxa" w:w="30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Colaboración directa preservada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Teams y la coordinación humana no deben convertirse en prohibiciones artificiales.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DP-04</w:t>
            </w:r>
          </w:p>
        </w:tc>
        <w:tc>
          <w:tcPr>
            <w:tcW w:type="dxa" w:w="30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Consulta distinta de handoff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Pedir ayuda no equivale a transferir formalmente la responsabilidad.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DP-05</w:t>
            </w:r>
          </w:p>
        </w:tc>
        <w:tc>
          <w:tcPr>
            <w:tcW w:type="dxa" w:w="30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Controles proporcionales al riesgo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Casos sensibles y solicitudes de acceso pueden requerir controles adicionales.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DP-06</w:t>
            </w:r>
          </w:p>
        </w:tc>
        <w:tc>
          <w:tcPr>
            <w:tcW w:type="dxa" w:w="30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Métricas con contexto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Volumen y tiempos deben leerse junto con tipo de trabajo y complejidad.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DP-07</w:t>
            </w:r>
          </w:p>
        </w:tc>
        <w:tc>
          <w:tcPr>
            <w:tcW w:type="dxa" w:w="30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Fuente de verdad organizacional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contexto relevante debe permanecer en un registro accesible y auditable.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DP-08</w:t>
            </w:r>
          </w:p>
        </w:tc>
        <w:tc>
          <w:tcPr>
            <w:tcW w:type="dxa" w:w="302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Adopción como requisito de éxito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Un flujo excesivamente rígido aumenta el riesgo de trabajo fuera del sistema.</w:t>
            </w:r>
          </w:p>
        </w:tc>
      </w:tr>
    </w:tbl>
    <w:p/>
    <w:p>
      <w:pPr>
        <w:pStyle w:val="Heading1"/>
      </w:pPr>
      <w:r>
        <w:t>3. Requerimientos funcionales finales</w:t>
      </w:r>
    </w:p>
    <w:p>
      <w:pPr>
        <w:spacing w:after="100"/>
      </w:pPr>
      <w:r>
        <w:rPr>
          <w:rFonts w:ascii="Cambria" w:hAnsi="Cambria"/>
          <w:b w:val="0"/>
          <w:i w:val="0"/>
          <w:sz w:val="22"/>
        </w:rPr>
        <w:t>La columna MVP indica el tratamiento previsto en el plan de desarrollo. CORE significa que la capacidad se implementará en el MVP; LATER significa que permanece como requerimiento válido pero se difiere para proteger el alcance de aprendizaje.</w:t>
      </w:r>
    </w:p>
    <w:p>
      <w:pPr>
        <w:pStyle w:val="Heading2"/>
      </w:pPr>
      <w:r>
        <w:t>3.1 RW-01 · Intake y captura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120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Requerimiento final</w:t>
            </w:r>
          </w:p>
        </w:tc>
        <w:tc>
          <w:tcPr>
            <w:tcW w:type="dxa" w:w="208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Origen / trazabilidad</w:t>
            </w:r>
          </w:p>
        </w:tc>
        <w:tc>
          <w:tcPr>
            <w:tcW w:type="dxa" w:w="10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FR-01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Cada caso debe tener un identificador único y conservar el canal de origen. El sistema no debe asumir deduplicación automática entre canales.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REQ-01 → N-01/N-11; F-01,F-02,F-07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FR-02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permitir una captura mínima y rápida para casos sencillos, con pocos campos obligatorios al inicio.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REQ-02 → N-11; F-13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FR-03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Los equipos L2 deben poder registrar rápidamente una solicitud recibida de forma directa, identificando que no pasó inicialmente por Service Desk.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REQ-03 depurado → N-01/N-12; F-07,F-11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FR-04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permitir identificar, relacionar o consolidar solicitudes duplicadas, conservando el origen y el historial de cada registro relacionado.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Nuevo; corrige sobrealcance de REQ-01; F-01,F-07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666666"/>
                <w:sz w:val="17"/>
              </w:rPr>
              <w:t>LATER</w:t>
            </w:r>
          </w:p>
        </w:tc>
      </w:tr>
    </w:tbl>
    <w:p/>
    <w:p>
      <w:pPr>
        <w:pStyle w:val="Heading2"/>
      </w:pPr>
      <w:r>
        <w:t>3.2 RW-02 · Clasificación y prioridad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120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Requerimiento final</w:t>
            </w:r>
          </w:p>
        </w:tc>
        <w:tc>
          <w:tcPr>
            <w:tcW w:type="dxa" w:w="208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Origen / trazabilidad</w:t>
            </w:r>
          </w:p>
        </w:tc>
        <w:tc>
          <w:tcPr>
            <w:tcW w:type="dxa" w:w="10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FR-05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distinguir entre Incidente y Solicitud de Servicio utilizando definiciones operativas configurables.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REQ-05; F-02; Q-04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FR-06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usar categorías y subcategorías controladas y configurables. Debe existir una opción Otro con descripción obligatoria para excepciones.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REQ-06 depurado → N-03; F-05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FR-07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calcular o sugerir prioridad mediante una matriz configurable de impacto y urgencia. Un analista autorizado podrá modificarla dejando justificación.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REQ-07 depurado → N-03; F-05; Q-05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FR-08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permitir reclasificar un caso sin eliminar la clasificación anterior ni su historial.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REQ-08 → N-07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</w:tbl>
    <w:p/>
    <w:p>
      <w:pPr>
        <w:pStyle w:val="Heading2"/>
      </w:pPr>
      <w:r>
        <w:t>3.3 RW-03 · Ciclo de vida, ownership y asignación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120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Requerimiento final</w:t>
            </w:r>
          </w:p>
        </w:tc>
        <w:tc>
          <w:tcPr>
            <w:tcW w:type="dxa" w:w="208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Origen / trazabilidad</w:t>
            </w:r>
          </w:p>
        </w:tc>
        <w:tc>
          <w:tcPr>
            <w:tcW w:type="dxa" w:w="10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FR-09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manejar estados definidos del caso y registrar fecha, hora y usuario o servicio responsable de cada transición.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Nuevo; F-03,F-08,F-10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FR-10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Cada caso debe tener en todo momento un equipo responsable visible. La asignación a una persona dentro del equipo puede ser opcional.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REQ-09 depurado → N-02; F-03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FR-11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soportar colas de trabajo por equipo para Service Desk, Network, Business Applications e Information Security.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REQ-10 → N-02/N-08; F-03,F-08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FR-12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permitir reasignar un caso dentro de un equipo o hacia otro equipo autorizado, conservando quién lo tuvo y cuándo.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REQ-11 → N-02/N-07; F-03,F-10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FR-13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permitir configurar recordatorios o alertas para casos sin avance o pendientes de una acción.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REQ-12 → N-08; F-08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666666"/>
                <w:sz w:val="17"/>
              </w:rPr>
              <w:t>LATER</w:t>
            </w:r>
          </w:p>
        </w:tc>
      </w:tr>
    </w:tbl>
    <w:p/>
    <w:p>
      <w:pPr>
        <w:pStyle w:val="Heading2"/>
      </w:pPr>
      <w:r>
        <w:t>3.4 RW-04 · Escalamiento y colaboración L1-L2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120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Requerimiento final</w:t>
            </w:r>
          </w:p>
        </w:tc>
        <w:tc>
          <w:tcPr>
            <w:tcW w:type="dxa" w:w="208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Origen / trazabilidad</w:t>
            </w:r>
          </w:p>
        </w:tc>
        <w:tc>
          <w:tcPr>
            <w:tcW w:type="dxa" w:w="10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FR-14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diferenciar una consulta colaborativa de una solicitud formal de handoff de responsabilidad.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REQ-13 → N-05; F-04; DP-04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FR-15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Un handoff debe validar datos mínimos según el tipo de caso y el equipo receptor antes de quedar listo para aceptación.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REQ-14 → N-04; F-06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FR-16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equipo receptor debe poder aceptar, devolver o redirigir un handoff y deberá registrar un motivo cuando no lo acepte.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REQ-15 → N-05; F-04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FR-17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Solicitar un handoff no transfiere ownership. El equipo responsable cambia únicamente cuando el receptor acepta formalmente la transferencia.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Nuevo; deriva de REQ-13/15 y F-03/F-04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FR-18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conservar trazabilidad completa de las transferencias: origen, destino, fecha/hora, estado del handoff y responsables involucrados.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REQ-16 → N-02/N-07; F-03,F-04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</w:tbl>
    <w:p/>
    <w:p>
      <w:pPr>
        <w:pStyle w:val="Heading2"/>
      </w:pPr>
      <w:r>
        <w:t>3.5 RW-05 · Comunicación y visibilidad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120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Requerimiento final</w:t>
            </w:r>
          </w:p>
        </w:tc>
        <w:tc>
          <w:tcPr>
            <w:tcW w:type="dxa" w:w="208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Origen / trazabilidad</w:t>
            </w:r>
          </w:p>
        </w:tc>
        <w:tc>
          <w:tcPr>
            <w:tcW w:type="dxa" w:w="10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FR-19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solicitante debe poder consultar el estado y las actualizaciones visibles de sus casos sin depender de contactar al analista.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REQ-17 → N-06; F-09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666666"/>
                <w:sz w:val="17"/>
              </w:rPr>
              <w:t>LATER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FR-20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poder notificar al solicitante ante cambios de estado relevantes definidos por configuración.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REQ-18 → N-06; F-09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666666"/>
                <w:sz w:val="17"/>
              </w:rPr>
              <w:t>LATER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FR-21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ciclo de cierre debe diferenciar Resuelto de Cerrado. Debe soportar confirmación, reapertura y cierre automático configurable después de un periodo.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REQ-19 depurado → N-06; AS-IS cierre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FR-22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permitir solicitar información adicional al usuario manteniendo la conversación vinculada al caso.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REQ-20 → N-01/N-06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666666"/>
                <w:sz w:val="17"/>
              </w:rPr>
              <w:t>LATER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FR-23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distinguir entre notas internas de soporte y comentarios visibles para el solicitante.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Nuevo; F-01,F-09,F-14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</w:tbl>
    <w:p/>
    <w:p>
      <w:pPr>
        <w:pStyle w:val="Heading2"/>
      </w:pPr>
      <w:r>
        <w:t>3.6 RW-06 · Conocimiento y continuidad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120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Requerimiento final</w:t>
            </w:r>
          </w:p>
        </w:tc>
        <w:tc>
          <w:tcPr>
            <w:tcW w:type="dxa" w:w="208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Origen / trazabilidad</w:t>
            </w:r>
          </w:p>
        </w:tc>
        <w:tc>
          <w:tcPr>
            <w:tcW w:type="dxa" w:w="10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FR-24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conservar el historial y el contexto del caso y hacerlo accesible a usuarios autorizados que deban retomarlo.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REQ-21 depurado → N-07; F-10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FR-25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permitir adjuntar evidencias y archivos al caso y conservarlos como parte del historial.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Nuevo; F-06,F-10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666666"/>
                <w:sz w:val="17"/>
              </w:rPr>
              <w:t>LATER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FR-26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permitir búsqueda de casos previos por identificador, texto, usuario, aplicación, categoría, estado o equipo.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REQ-22 depurado → N-07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</w:tbl>
    <w:p/>
    <w:p>
      <w:pPr>
        <w:pStyle w:val="Heading2"/>
      </w:pPr>
      <w:r>
        <w:t>3.7 RW-07 · Seguridad y workflows de acceso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120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Requerimiento final</w:t>
            </w:r>
          </w:p>
        </w:tc>
        <w:tc>
          <w:tcPr>
            <w:tcW w:type="dxa" w:w="208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Origen / trazabilidad</w:t>
            </w:r>
          </w:p>
        </w:tc>
        <w:tc>
          <w:tcPr>
            <w:tcW w:type="dxa" w:w="10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FR-27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Las solicitudes de acceso o permisos deben poder seguir un flujo explícito de aprobación antes de ejecutarse.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REQ-24 → N-09; F-14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666666"/>
                <w:sz w:val="17"/>
              </w:rPr>
              <w:t>LATER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FR-28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permitir registrar expiración de accesos y generar seguimiento para revocación. La revocación automática en sistemas externos requiere una integración específica.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REQ-25 depurado → N-09; F-14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666666"/>
                <w:sz w:val="17"/>
              </w:rPr>
              <w:t>LATER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FR-29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conservar auditoría de solicitudes de acceso: solicitante, aprobador, decisión, ejecutor, fecha/hora, permiso otorgado y revocación cuando aplique.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REQ-27 → N-09; F-14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666666"/>
                <w:sz w:val="17"/>
              </w:rPr>
              <w:t>LATER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FR-30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offboarding debe poder representarse como checklist o conjunto de tareas por sistema y responsable, con confirmación de cada retiro de acceso.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REQ-28 depurado → N-09; F-15; Q-01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666666"/>
                <w:sz w:val="17"/>
              </w:rPr>
              <w:t>LATER</w:t>
            </w:r>
          </w:p>
        </w:tc>
      </w:tr>
    </w:tbl>
    <w:p/>
    <w:p>
      <w:pPr>
        <w:pStyle w:val="Heading2"/>
      </w:pPr>
      <w:r>
        <w:t>3.8 RW-08 · Métricas y reportes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120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Requerimiento final</w:t>
            </w:r>
          </w:p>
        </w:tc>
        <w:tc>
          <w:tcPr>
            <w:tcW w:type="dxa" w:w="208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Origen / trazabilidad</w:t>
            </w:r>
          </w:p>
        </w:tc>
        <w:tc>
          <w:tcPr>
            <w:tcW w:type="dxa" w:w="10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FR-31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capturar volumen, backlog y tiempos por equipo, incluyendo L1 y L2, usando el historial de estados y ownership como fuente.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REQ-29 + REQ-31 fusionados → N-10/N-12; F-11,F-12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FR-32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Los reportes deben permitir visualizar cuánto trabajo de soporte absorben los equipos especialistas además de su trabajo planificado.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Parte de REQ-31 → N-12; F-11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666666"/>
                <w:sz w:val="17"/>
              </w:rPr>
              <w:t>LATER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FR-33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ofrecer reportes básicos filtrables por periodo, equipo, tipo, categoría, prioridad y estado.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Nuevo; N-10/N-12; F-12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</w:tbl>
    <w:p/>
    <w:p>
      <w:pPr>
        <w:pStyle w:val="Heading2"/>
      </w:pPr>
      <w:r>
        <w:t>3.9 RW-09 · Administración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120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Requerimiento final</w:t>
            </w:r>
          </w:p>
        </w:tc>
        <w:tc>
          <w:tcPr>
            <w:tcW w:type="dxa" w:w="208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Origen / trazabilidad</w:t>
            </w:r>
          </w:p>
        </w:tc>
        <w:tc>
          <w:tcPr>
            <w:tcW w:type="dxa" w:w="10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FR-34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permitir administrar catálogos de tipos, categorías, subcategorías y valores auxiliares sin cambios de código.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REQ-33 → Q-10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FR-35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permitir administrar equipos, colas y membresías utilizadas para asignación y routing.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Nuevo; deriva de REQ-10/33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FR-36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permitir configurar reglas de SLA/OLA por categoría, prioridad y equipo cuando ACME defina dichas reglas.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REQ-35 → Q-06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666666"/>
                <w:sz w:val="17"/>
              </w:rPr>
              <w:t>LATER</w:t>
            </w:r>
          </w:p>
        </w:tc>
      </w:tr>
    </w:tbl>
    <w:p/>
    <w:p>
      <w:pPr>
        <w:pStyle w:val="Heading1"/>
      </w:pPr>
      <w:r>
        <w:t>4. Requerimientos de autenticación, autorización y seguridad</w:t>
      </w:r>
    </w:p>
    <w:p>
      <w:pPr>
        <w:spacing w:after="100"/>
      </w:pPr>
      <w:r>
        <w:rPr>
          <w:rFonts w:ascii="Cambria" w:hAnsi="Cambria"/>
          <w:b w:val="0"/>
          <w:i w:val="0"/>
          <w:sz w:val="22"/>
        </w:rPr>
        <w:t>Estos requerimientos consolidan REQ-26 y REQ-34 y agregan controles necesarios para que el MVP pueda explorar seguridad de APIs y microservicios de forma explícita.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120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Requerimiento final</w:t>
            </w:r>
          </w:p>
        </w:tc>
        <w:tc>
          <w:tcPr>
            <w:tcW w:type="dxa" w:w="208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Origen / trazabilidad</w:t>
            </w:r>
          </w:p>
        </w:tc>
        <w:tc>
          <w:tcPr>
            <w:tcW w:type="dxa" w:w="10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SEC-01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Toda operación protegida debe requerir autenticación y una identidad válida del usuario.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REQ-34 + objetivo técnico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SEC-02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soportar expiración de credenciales o tokens de acceso y rechazar credenciales inválidas o expiradas.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Objetivo técnico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SEC-03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MVP debe manejar al menos los roles Requester, ServiceDeskAgent, L2Agent y Administrator.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REQ-34 depurado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SEC-04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La autorización debe poder considerar rol, equipo y recurso concreto. Un L2 no debe operar casos de otro equipo salvo permiso explícito.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Nuevo; F-03,F-14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SEC-05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Los casos sensibles deben tener visibilidad restringida por política y no podrán consultarse solo por conocer su identificador.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REQ-26 → N-09; F-14; R-05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SEC-06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Los cambios relevantes de estado, prioridad, clasificación, ownership, handoff y permisos deben quedar auditados con actor y fecha/hora.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Nuevo + REQ-27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SEC-07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Los servicios internos, incluido el AI Agent Service, deben autenticarse con identidad de servicio y permisos mínimos para las APIs que utilicen.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Objetivo técnico de microservices/AI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</w:tbl>
    <w:p/>
    <w:p>
      <w:pPr>
        <w:pStyle w:val="Heading1"/>
      </w:pPr>
      <w:r>
        <w:t>5. Requerimientos AI del proyecto de aprendizaje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0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mbria" w:hAnsi="Cambria"/>
                <w:b/>
                <w:i w:val="0"/>
                <w:color w:val="17365D"/>
                <w:sz w:val="21"/>
              </w:rPr>
              <w:t xml:space="preserve">Origen. </w:t>
            </w:r>
            <w:r>
              <w:rPr>
                <w:rFonts w:ascii="Cambria" w:hAnsi="Cambria"/>
                <w:b w:val="0"/>
                <w:i w:val="0"/>
                <w:sz w:val="21"/>
              </w:rPr>
              <w:t>Estos requerimientos fueron incorporados después de Discovery para convertir el ServiceDesk en una exploración práctica de Agentic AI. No representan una solicitud original de ACME.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120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Requerimiento final</w:t>
            </w:r>
          </w:p>
        </w:tc>
        <w:tc>
          <w:tcPr>
            <w:tcW w:type="dxa" w:w="208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Origen / trazabilidad</w:t>
            </w:r>
          </w:p>
        </w:tc>
        <w:tc>
          <w:tcPr>
            <w:tcW w:type="dxa" w:w="10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AI-01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Al crearse o revisarse un caso, un agente de triage debe poder proponer tipo, categoría, prioridad y equipo recomendado mediante salida estructurada.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Objetivo de aprendizaje AI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AI-02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La recomendación debe incluir nivel de confianza, explicación breve y lista de información faltante relevante.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Objetivo de aprendizaje AI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AI-03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Las recomendaciones AI no deben modificar automáticamente clasificación, prioridad u ownership; un usuario autorizado debe confirmarlas.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Human-in-the-loop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AI-04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Antes de un handoff, un agente debe poder validar si existe la información mínima requerida por el equipo receptor y señalar faltantes.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F-06 + objetivo AI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AI-05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agente debe poder buscar casos previos similares usando herramientas autorizadas del Ticket Service.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FR-26 + objetivo AI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AI-06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Los agentes deben usar APIs o tools autorizadas; no tendrán acceso directo a la base de datos del Ticket Service.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Microservices + least privilege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AI-07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Cada recomendación AI y la decisión humana de aceptarla o modificarla deben quedar registradas para análisis y trazabilidad.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Auditoría AI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AI-08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Si el servicio AI no está disponible, el flujo core de creación, asignación, handoff y cierre debe continuar de forma manual.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Resiliencia MVP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</w:tbl>
    <w:p/>
    <w:p>
      <w:pPr>
        <w:pStyle w:val="Heading1"/>
      </w:pPr>
      <w:r>
        <w:t>6. Reglas de negocio y decisiones operativas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15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8784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Regla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9"/>
              </w:rPr>
              <w:t>BR-01</w:t>
            </w:r>
          </w:p>
        </w:tc>
        <w:tc>
          <w:tcPr>
            <w:tcW w:type="dxa" w:w="878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9"/>
              </w:rPr>
              <w:t>Para el MVP se utilizarán definiciones de trabajo: Incidente = interrupción o degradación no planificada; Solicitud de Servicio = petición estándar de acceso, información o servicio. ACME podrá ajustar estas definiciones después.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9"/>
              </w:rPr>
              <w:t>BR-02</w:t>
            </w:r>
          </w:p>
        </w:tc>
        <w:tc>
          <w:tcPr>
            <w:tcW w:type="dxa" w:w="878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9"/>
              </w:rPr>
              <w:t>La prioridad se deriva de Impacto × Urgencia. La matriz exacta será configurable y cualquier override humano debe conservar justificación.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9"/>
              </w:rPr>
              <w:t>BR-03</w:t>
            </w:r>
          </w:p>
        </w:tc>
        <w:tc>
          <w:tcPr>
            <w:tcW w:type="dxa" w:w="878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9"/>
              </w:rPr>
              <w:t>Un handoff solicitado permanece pendiente y no transfiere ownership hasta que el equipo receptor lo acepta.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9"/>
              </w:rPr>
              <w:t>BR-04</w:t>
            </w:r>
          </w:p>
        </w:tc>
        <w:tc>
          <w:tcPr>
            <w:tcW w:type="dxa" w:w="878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9"/>
              </w:rPr>
              <w:t>La devolución o redirección de un handoff requiere motivo visible para L1 y L2.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9"/>
              </w:rPr>
              <w:t>BR-05</w:t>
            </w:r>
          </w:p>
        </w:tc>
        <w:tc>
          <w:tcPr>
            <w:tcW w:type="dxa" w:w="878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9"/>
              </w:rPr>
              <w:t>Resuelto indica que soporte considera aplicada una solución. Cerrado indica finalización del caso después de confirmación o regla de cierre.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9"/>
              </w:rPr>
              <w:t>BR-06</w:t>
            </w:r>
          </w:p>
        </w:tc>
        <w:tc>
          <w:tcPr>
            <w:tcW w:type="dxa" w:w="878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9"/>
              </w:rPr>
              <w:t>Las métricas de cantidad o tiempo no deben interpretarse de forma aislada como desempeño individual; el uso de métricas debe conservar contexto.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9"/>
              </w:rPr>
              <w:t>BR-07</w:t>
            </w:r>
          </w:p>
        </w:tc>
        <w:tc>
          <w:tcPr>
            <w:tcW w:type="dxa" w:w="878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9"/>
              </w:rPr>
              <w:t>Los casos sensibles pueden exigir políticas adicionales de visibilidad y auditoría.</w:t>
            </w:r>
          </w:p>
        </w:tc>
      </w:tr>
    </w:tbl>
    <w:p/>
    <w:p>
      <w:pPr>
        <w:pStyle w:val="Heading1"/>
      </w:pPr>
      <w:r>
        <w:t>7. Requerimientos no funcionales y restricciones de ingeniería</w:t>
      </w:r>
    </w:p>
    <w:p>
      <w:pPr>
        <w:spacing w:after="100"/>
      </w:pPr>
      <w:r>
        <w:rPr>
          <w:rFonts w:ascii="Cambria" w:hAnsi="Cambria"/>
          <w:b w:val="0"/>
          <w:i w:val="0"/>
          <w:sz w:val="22"/>
        </w:rPr>
        <w:t>Los siguientes puntos son una baseline técnica propuesta para el MVP de aprendizaje. No son SLA contractuales de ACME.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120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Requerimiento final</w:t>
            </w:r>
          </w:p>
        </w:tc>
        <w:tc>
          <w:tcPr>
            <w:tcW w:type="dxa" w:w="208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Origen / trazabilidad</w:t>
            </w:r>
          </w:p>
        </w:tc>
        <w:tc>
          <w:tcPr>
            <w:tcW w:type="dxa" w:w="1036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NFR-01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Los servicios backend deben ejecutarse como contenedores Docker reproducibles.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Objetivo DevOps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NFR-02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Las APIs deben exponer health checks para proceso, base de datos y dependencias críticas cuando corresponda.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Operabilidad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NFR-03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Las operaciones de I/O deben ser asíncronas y aceptar CancellationToken cuando sea pertinente.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Advanced C#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NFR-04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Ticket Service debe manejar concurrencia optimista para evitar sobrescrituras silenciosas de cambios simultáneos.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EF Core / integridad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NFR-05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La publicación de eventos de integración desde Ticket Service debe evitar pérdida entre commit de base de datos y mensajería mediante Outbox o patrón equivalente.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Microservices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NFR-06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Los consumidores de eventos deben poder manejar reintentos e idempotencia básica.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Microservices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NFR-07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La configuración sensible debe suministrarse mediante secretos o variables de entorno y no almacenarse en el repositorio.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Seguridad DevOps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NFR-08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sistema debe generar logging estructurado suficiente para correlacionar solicitudes, handoffs, eventos y llamadas AI.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Observabilidad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NFR-09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El flujo core debe contar con pruebas unitarias y de integración automatizadas ejecutables en CI.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Calidad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NFR-10</w:t>
            </w:r>
          </w:p>
        </w:tc>
        <w:tc>
          <w:tcPr>
            <w:tcW w:type="dxa" w:w="6120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Los servicios deben mantener límites de datos lógicos; ningún servicio debe depender de leer directamente las tablas privadas de otro servicio.</w:t>
            </w:r>
          </w:p>
        </w:tc>
        <w:tc>
          <w:tcPr>
            <w:tcW w:type="dxa" w:w="208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Microservices</w:t>
            </w:r>
          </w:p>
        </w:tc>
        <w:tc>
          <w:tcPr>
            <w:tcW w:type="dxa" w:w="1036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mbria" w:hAnsi="Cambria"/>
                <w:b/>
                <w:i w:val="0"/>
                <w:color w:val="2F5597"/>
                <w:sz w:val="17"/>
              </w:rPr>
              <w:t>CORE</w:t>
            </w:r>
          </w:p>
        </w:tc>
      </w:tr>
    </w:tbl>
    <w:p/>
    <w:p>
      <w:pPr>
        <w:pStyle w:val="Heading1"/>
      </w:pPr>
      <w:r>
        <w:t>8. Gobierno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768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Decisión / responsabilidad</w:t>
            </w:r>
          </w:p>
        </w:tc>
        <w:tc>
          <w:tcPr>
            <w:tcW w:type="dxa" w:w="2015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Origen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GOV-01</w:t>
            </w:r>
          </w:p>
        </w:tc>
        <w:tc>
          <w:tcPr>
            <w:tcW w:type="dxa" w:w="67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Service Desk debe tener un data owner responsable de catálogos, colas y reglas operativas.</w:t>
            </w:r>
          </w:p>
        </w:tc>
        <w:tc>
          <w:tcPr>
            <w:tcW w:type="dxa" w:w="201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REQ-36 movido a gobierno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GOV-02</w:t>
            </w:r>
          </w:p>
        </w:tc>
        <w:tc>
          <w:tcPr>
            <w:tcW w:type="dxa" w:w="67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Information Security define qué tipos de caso requieren visibilidad restringida y qué políticas aplican.</w:t>
            </w:r>
          </w:p>
        </w:tc>
        <w:tc>
          <w:tcPr>
            <w:tcW w:type="dxa" w:w="201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Q-09 / F-14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GOV-03</w:t>
            </w:r>
          </w:p>
        </w:tc>
        <w:tc>
          <w:tcPr>
            <w:tcW w:type="dxa" w:w="67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Laura y Miguel definen audiencia y uso de métricas por equipo o persona; el MVP priorizará métricas operativas por equipo.</w:t>
            </w:r>
          </w:p>
        </w:tc>
        <w:tc>
          <w:tcPr>
            <w:tcW w:type="dxa" w:w="201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REQ-32 movido a decisión de gobierno; Q-08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GOV-04</w:t>
            </w:r>
          </w:p>
        </w:tc>
        <w:tc>
          <w:tcPr>
            <w:tcW w:type="dxa" w:w="67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SLA/OLA permanecen fuera del MVP hasta que ACME defina compromisos y owners.</w:t>
            </w:r>
          </w:p>
        </w:tc>
        <w:tc>
          <w:tcPr>
            <w:tcW w:type="dxa" w:w="201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Q-06 / REQ-35</w:t>
            </w:r>
          </w:p>
        </w:tc>
      </w:tr>
    </w:tbl>
    <w:p/>
    <w:p>
      <w:pPr>
        <w:pStyle w:val="Heading1"/>
      </w:pPr>
      <w:r>
        <w:t>9. Elementos diferidos y fuera de la baseline funcional 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19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Elemento diferido</w:t>
            </w:r>
          </w:p>
        </w:tc>
        <w:tc>
          <w:tcPr>
            <w:tcW w:type="dxa" w:w="259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8"/>
              </w:rPr>
              <w:t>Motivo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BL-01</w:t>
            </w:r>
          </w:p>
        </w:tc>
        <w:tc>
          <w:tcPr>
            <w:tcW w:type="dxa" w:w="61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Creación o actualización automática desde correo y Teams sin recaptura.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REQ-04; depende de Q-07 e integración técnica.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BL-02</w:t>
            </w:r>
          </w:p>
        </w:tc>
        <w:tc>
          <w:tcPr>
            <w:tcW w:type="dxa" w:w="61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Knowledge Base formal.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REQ-23; se mantiene como opción Post-MVP.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BL-03</w:t>
            </w:r>
          </w:p>
        </w:tc>
        <w:tc>
          <w:tcPr>
            <w:tcW w:type="dxa" w:w="61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Revocación automática en sistemas externos.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Requiere integraciones fuera del alcance inicial.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BL-04</w:t>
            </w:r>
          </w:p>
        </w:tc>
        <w:tc>
          <w:tcPr>
            <w:tcW w:type="dxa" w:w="61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Portal completo de autoservicio y notificaciones multicanal.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FR-19/20 podrán crecer después del MVP.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BL-05</w:t>
            </w:r>
          </w:p>
        </w:tc>
        <w:tc>
          <w:tcPr>
            <w:tcW w:type="dxa" w:w="61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SLA/OLA avanzados, dashboards ejecutivos y analítica sofisticada.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Q-06/Q-08; no necesarios para el objetivo de aprendizaje.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BL-06</w:t>
            </w:r>
          </w:p>
        </w:tc>
        <w:tc>
          <w:tcPr>
            <w:tcW w:type="dxa" w:w="61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Kubernetes, Helm, Terraform, service mesh y despliegues blue/green o canary.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8"/>
              </w:rPr>
              <w:t>Expresamente fuera del MVP DevOps.</w:t>
            </w:r>
          </w:p>
        </w:tc>
      </w:tr>
    </w:tbl>
    <w:p/>
    <w:p>
      <w:pPr>
        <w:pStyle w:val="Heading1"/>
      </w:pPr>
      <w:r>
        <w:t>10. Matriz de depuración de requerimientos candidatos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7"/>
              </w:rPr>
              <w:t>Candidato</w:t>
            </w:r>
          </w:p>
        </w:tc>
        <w:tc>
          <w:tcPr>
            <w:tcW w:type="dxa" w:w="2592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7"/>
              </w:rPr>
              <w:t>Destino final</w:t>
            </w:r>
          </w:p>
        </w:tc>
        <w:tc>
          <w:tcPr>
            <w:tcW w:type="dxa" w:w="5903"/>
            <w:shd w:fill="17365D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/>
                <w:i w:val="0"/>
                <w:color w:val="FFFFFF"/>
                <w:sz w:val="17"/>
              </w:rPr>
              <w:t>Tratamiento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REQ-01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FR-01 + FR-04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Reescrito; se elimina promesa de deduplicación automática.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REQ-02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FR-02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Conservado.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REQ-03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FR-03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Reescrito; registro rápido, no automático.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REQ-04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BL-01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Movido a integración/post-MVP.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REQ-05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FR-05 + BR-01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Conservado con definición operativa para MVP.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REQ-06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FR-06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Reescrito; catálogos controlados con excepción Otro.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REQ-07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FR-07 + BR-02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Reescrito; matriz configurable y override justificado.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REQ-08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FR-08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Conservado.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REQ-09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FR-10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Reescrito; equipo responsable obligatorio, persona opcional.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REQ-10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FR-11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Conservado.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REQ-11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FR-12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Conservado.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REQ-12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FR-13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Conservado, diferido del MVP.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REQ-13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FR-14 + BR-03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Conservado y reforzado.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REQ-14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FR-15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Conservado.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REQ-15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FR-16 + FR-17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Conservado y se explicita cuándo cambia ownership.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REQ-16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FR-18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Conservado.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REQ-17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FR-19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Conservado, post-MVP.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REQ-18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FR-20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Conservado, post-MVP.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REQ-19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FR-21 + BR-05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Reescrito; Resuelto/Cerrado y reapertura.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REQ-20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FR-22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Conservado, post-MVP.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REQ-21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FR-24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Reescrito; solo usuarios autorizados.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REQ-22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FR-26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Conservado y ampliado para búsqueda.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REQ-23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BL-02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Sale de Requirements core; backlog.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REQ-24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FR-27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Conservado, post-MVP.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REQ-25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FR-28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Reescrito; no presupone integración externa.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REQ-26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SEC-05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Conservado como seguridad.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REQ-27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FR-29 + SEC-06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Conservado y ampliado a auditoría general.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REQ-28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FR-30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Reescrito; checklist/tareas, no automatización universal.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REQ-29/31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FR-31 + FR-32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Fusionados para evitar duplicidad.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REQ-30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DP-06 + BR-06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Movido a principio/regla de interpretación.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REQ-32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GOV-03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Movido a decisión de gobierno.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REQ-33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FR-34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Conservado.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REQ-34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SEC-01 a SEC-05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Descompuesto en autenticación y autorización verificables.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REQ-35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FR-36 + GOV-04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Conservado pero diferido hasta definición de SLA/OLA.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REQ-36</w:t>
            </w:r>
          </w:p>
        </w:tc>
        <w:tc>
          <w:tcPr>
            <w:tcW w:type="dxa" w:w="25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GOV-01</w:t>
            </w:r>
          </w:p>
        </w:tc>
        <w:tc>
          <w:tcPr>
            <w:tcW w:type="dxa" w:w="590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Cambria" w:hAnsi="Cambria"/>
                <w:b w:val="0"/>
                <w:i w:val="0"/>
                <w:sz w:val="17"/>
              </w:rPr>
              <w:t>Movido a gobierno operativo.</w:t>
            </w:r>
          </w:p>
        </w:tc>
      </w:tr>
    </w:tbl>
    <w:p/>
    <w:p>
      <w:pPr>
        <w:pStyle w:val="Heading1"/>
      </w:pPr>
      <w:r>
        <w:t>11. Baseline para planificación del MVP</w:t>
      </w:r>
    </w:p>
    <w:p>
      <w:pPr>
        <w:spacing w:after="100"/>
      </w:pPr>
      <w:r>
        <w:rPr>
          <w:rFonts w:ascii="Cambria" w:hAnsi="Cambria"/>
          <w:b w:val="0"/>
          <w:i w:val="0"/>
          <w:sz w:val="22"/>
        </w:rPr>
        <w:t>La baseline final permite pasar a desarrollo sin resolver todas las preguntas abiertas del Discovery. El MVP utilizará supuestos de trabajo explícitos para Incidente/Solicitud, prioridad, roles y estados, y diferirá procesos que no aportan al objetivo técnico principal.</w:t>
      </w:r>
    </w:p>
    <w:p>
      <w:pPr>
        <w:spacing w:after="100"/>
      </w:pPr>
      <w:r>
        <w:rPr>
          <w:rFonts w:ascii="Cambria" w:hAnsi="Cambria"/>
          <w:b w:val="0"/>
          <w:i w:val="0"/>
          <w:sz w:val="22"/>
        </w:rPr>
        <w:t>La siguiente etapa debe usar únicamente los elementos marcados CORE como alcance inicial. Los elementos LATER permanecen válidos, pero no bloquean el inicio del desarrollo.</w:t>
      </w:r>
    </w:p>
    <w:p>
      <w:pPr>
        <w:jc w:val="center"/>
      </w:pPr>
      <w:r>
        <w:rPr>
          <w:rFonts w:ascii="Cambria" w:hAnsi="Cambria"/>
          <w:b w:val="0"/>
          <w:i/>
          <w:color w:val="666666"/>
          <w:sz w:val="20"/>
        </w:rPr>
        <w:t>Fin del documento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mbria" w:hAnsi="Cambria"/>
        <w:b w:val="0"/>
        <w:i w:val="0"/>
        <w:color w:val="666666"/>
        <w:sz w:val="18"/>
      </w:rPr>
      <w:t xml:space="preserve">Página </w:t>
    </w:r>
    <w:r>
      <w:rPr>
        <w:rFonts w:ascii="Cambria" w:hAnsi="Cambria"/>
        <w:b w:val="0"/>
        <w:i w:val="0"/>
        <w:color w:val="666666"/>
        <w:sz w:val="18"/>
      </w:rPr>
      <w:fldChar w:fldCharType="begin"/>
      <w:instrText xml:space="preserve">PAGE</w:instrText>
      <w:fldChar w:fldCharType="end"/>
    </w:r>
    <w:r>
      <w:rPr>
        <w:rFonts w:ascii="Cambria" w:hAnsi="Cambria"/>
        <w:b w:val="0"/>
        <w:i w:val="0"/>
        <w:color w:val="666666"/>
        <w:sz w:val="18"/>
      </w:rPr>
      <w:t xml:space="preserve"> de </w:t>
    </w:r>
    <w:r>
      <w:rPr>
        <w:rFonts w:ascii="Cambria" w:hAnsi="Cambria"/>
        <w:b w:val="0"/>
        <w:i w:val="0"/>
        <w:color w:val="666666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mbria" w:hAnsi="Cambria"/>
        <w:b w:val="0"/>
        <w:i w:val="0"/>
        <w:color w:val="666666"/>
        <w:sz w:val="17"/>
      </w:rPr>
      <w:t>CONFIDENCIAL | ServiceDesk — Requerimientos Finales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mbria" w:hAnsi="Cambria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mbria" w:hAnsi="Cambria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