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ServiceDesk</w:t>
      </w:r>
    </w:p>
    <w:p>
      <w:pPr>
        <w:jc w:val="center"/>
      </w:pPr>
      <w:r>
        <w:rPr>
          <w:rFonts w:ascii="Cambria" w:hAnsi="Cambria"/>
          <w:b/>
          <w:color w:val="17365D"/>
          <w:sz w:val="44"/>
        </w:rPr>
        <w:t>Service and Data Ownership Boundaries</w:t>
      </w:r>
    </w:p>
    <w:p>
      <w:pPr>
        <w:pStyle w:val="Subtitle"/>
        <w:jc w:val="center"/>
      </w:pPr>
      <w:r>
        <w:t>Límites de responsabilidad, fuente de verdad y propiedad de datos por servicio</w:t>
      </w:r>
    </w:p>
    <w:p/>
    <w:p>
      <w:pPr>
        <w:jc w:val="center"/>
      </w:pPr>
      <w:r>
        <w:rPr>
          <w:rFonts w:ascii="Cambria" w:hAnsi="Cambria"/>
          <w:sz w:val="22"/>
        </w:rPr>
        <w:t>ACME</w:t>
        <w:br/>
        <w:t>Versión 0.1 | 16 de septiembre de 2026</w:t>
        <w:br/>
        <w:t>Estado: Borrador para revisión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Documento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ServiceDesk – Service and Data Ownership Boundaries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Versión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0.1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Fecha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16 de septiembre de 2026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Estado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Borrador para revisión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Tarea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Issue #8 — Define Service and Data Ownership Boundaries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Origen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Architecture Baseline v0.2; C4 Diagrams v0.2; Ticket Service OOA&amp;D v0.2; Domain Decisions #5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Propósito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Congelar qué servicio es fuente de verdad de cada dato, qué copias locales se permiten y por qué mecanismos se comparte información.</w:t>
            </w:r>
          </w:p>
        </w:tc>
      </w:tr>
    </w:tbl>
    <w:p/>
    <w:p>
      <w:pPr>
        <w:pStyle w:val="Heading1"/>
      </w:pPr>
      <w:r>
        <w:t>1. Reglas de frontera</w:t>
      </w:r>
    </w:p>
    <w:p>
      <w:pPr>
        <w:pStyle w:val="ListNumber"/>
      </w:pPr>
      <w:r>
        <w:t>Cada concepto de negocio tiene una única fuente de verdad. Un dato puede proyectarse en otros servicios, pero la proyección no adquiere autoridad para modificarlo.</w:t>
      </w:r>
    </w:p>
    <w:p>
      <w:pPr>
        <w:pStyle w:val="ListNumber"/>
      </w:pPr>
      <w:r>
        <w:t>Cada servicio escribe únicamente en su propia base lógica. Se prohíbe el acceso SQL directo a la base de otro servicio, incluso para lectura.</w:t>
      </w:r>
    </w:p>
    <w:p>
      <w:pPr>
        <w:pStyle w:val="ListNumber"/>
      </w:pPr>
      <w:r>
        <w:t>Las necesidades inmediatas se resuelven mediante API autenticada. La propagación de hechos y sincronización de proyecciones se realiza mediante eventos de integración.</w:t>
      </w:r>
    </w:p>
    <w:p>
      <w:pPr>
        <w:pStyle w:val="ListNumber"/>
      </w:pPr>
      <w:r>
        <w:t>Las proyecciones locales deben tolerar consistencia eventual. Los consumidores de eventos deben ser idempotentes y registrar su posición o deduplicación cuando sea necesario.</w:t>
      </w:r>
    </w:p>
    <w:p>
      <w:pPr>
        <w:pStyle w:val="ListNumber"/>
      </w:pPr>
      <w:r>
        <w:t>RabbitMQ transporta mensajes, pero no es fuente de verdad ni event store. La persistencia autoritativa permanece en PostgreSQL.</w:t>
      </w:r>
    </w:p>
    <w:p>
      <w:pPr>
        <w:pStyle w:val="ListNumber"/>
      </w:pPr>
      <w:r>
        <w:t>El frontend no es dueño de datos de negocio. Mantiene únicamente estado de presentación y sesión temporal.</w:t>
      </w:r>
    </w:p>
    <w:p>
      <w:pPr>
        <w:pStyle w:val="Heading1"/>
      </w:pPr>
      <w:r>
        <w:t>2. Límites por servicio</w:t>
      </w:r>
    </w:p>
    <w:p>
      <w:pPr>
        <w:pStyle w:val="Heading2"/>
      </w:pPr>
      <w:r>
        <w:t>Identity Service</w:t>
      </w:r>
    </w:p>
    <w:p>
      <w:r>
        <w:t>Fuente de verdad de identidad y pertenencia organizacional.</w:t>
      </w:r>
    </w:p>
    <w:p>
      <w:r>
        <w:rPr>
          <w:b/>
        </w:rPr>
        <w:t>Posee</w:t>
      </w:r>
    </w:p>
    <w:p>
      <w:pPr>
        <w:pStyle w:val="ListBullet"/>
      </w:pPr>
      <w:r>
        <w:t>Usuarios internos de ACME y estado activo/inactivo.</w:t>
      </w:r>
    </w:p>
    <w:p>
      <w:pPr>
        <w:pStyle w:val="ListBullet"/>
      </w:pPr>
      <w:r>
        <w:t>Credenciales y hash de contraseñas.</w:t>
      </w:r>
    </w:p>
    <w:p>
      <w:pPr>
        <w:pStyle w:val="ListBullet"/>
      </w:pPr>
      <w:r>
        <w:t>Roles y claims de autorización.</w:t>
      </w:r>
    </w:p>
    <w:p>
      <w:pPr>
        <w:pStyle w:val="ListBullet"/>
      </w:pPr>
      <w:r>
        <w:t>Equipos y membresías usuario-equipo.</w:t>
      </w:r>
    </w:p>
    <w:p>
      <w:pPr>
        <w:pStyle w:val="ListBullet"/>
      </w:pPr>
      <w:r>
        <w:t>Identidades de servicio necesarias para M2M.</w:t>
      </w:r>
    </w:p>
    <w:p>
      <w:r>
        <w:rPr>
          <w:b/>
        </w:rPr>
        <w:t>Reglas</w:t>
      </w:r>
    </w:p>
    <w:p>
      <w:pPr>
        <w:pStyle w:val="ListBullet"/>
      </w:pPr>
      <w:r>
        <w:t>Publica eventos de cambios de usuario, equipo y membresía.</w:t>
      </w:r>
    </w:p>
    <w:p>
      <w:pPr>
        <w:pStyle w:val="ListBullet"/>
      </w:pPr>
      <w:r>
        <w:t>No conoce tickets, categorías ni reglas de handoff.</w:t>
      </w:r>
    </w:p>
    <w:p>
      <w:pPr>
        <w:pStyle w:val="Heading2"/>
      </w:pPr>
      <w:r>
        <w:t>Ticket Service</w:t>
      </w:r>
    </w:p>
    <w:p>
      <w:r>
        <w:t>Fuente de verdad del trabajo operativo de soporte.</w:t>
      </w:r>
    </w:p>
    <w:p>
      <w:r>
        <w:rPr>
          <w:b/>
        </w:rPr>
        <w:t>Posee</w:t>
      </w:r>
    </w:p>
    <w:p>
      <w:pPr>
        <w:pStyle w:val="ListBullet"/>
      </w:pPr>
      <w:r>
        <w:t>Ticket y TicketClassification.</w:t>
      </w:r>
    </w:p>
    <w:p>
      <w:pPr>
        <w:pStyle w:val="ListBullet"/>
      </w:pPr>
      <w:r>
        <w:t>Category y Subcategory.</w:t>
      </w:r>
    </w:p>
    <w:p>
      <w:pPr>
        <w:pStyle w:val="ListBullet"/>
      </w:pPr>
      <w:r>
        <w:t>Handoff, TicketComment y TicketHistoryEntry.</w:t>
      </w:r>
    </w:p>
    <w:p>
      <w:pPr>
        <w:pStyle w:val="ListBullet"/>
      </w:pPr>
      <w:r>
        <w:t>AiRecommendation como recomendación funcional asociada al ticket.</w:t>
      </w:r>
    </w:p>
    <w:p>
      <w:pPr>
        <w:pStyle w:val="ListBullet"/>
      </w:pPr>
      <w:r>
        <w:t>UserReference y TeamReference como proyecciones locales no autoritativas.</w:t>
      </w:r>
    </w:p>
    <w:p>
      <w:pPr>
        <w:pStyle w:val="ListBullet"/>
      </w:pPr>
      <w:r>
        <w:t>OutboxMessage y metadatos de publicación.</w:t>
      </w:r>
    </w:p>
    <w:p>
      <w:r>
        <w:rPr>
          <w:b/>
        </w:rPr>
        <w:t>Reglas</w:t>
      </w:r>
    </w:p>
    <w:p>
      <w:pPr>
        <w:pStyle w:val="ListBullet"/>
      </w:pPr>
      <w:r>
        <w:t>Valida asignaciones usando las proyecciones locales de identidad.</w:t>
      </w:r>
    </w:p>
    <w:p>
      <w:pPr>
        <w:pStyle w:val="ListBullet"/>
      </w:pPr>
      <w:r>
        <w:t>No administra credenciales, roles ni membresías organizacionales.</w:t>
      </w:r>
    </w:p>
    <w:p>
      <w:pPr>
        <w:pStyle w:val="Heading2"/>
      </w:pPr>
      <w:r>
        <w:t>AI Agent Service</w:t>
      </w:r>
    </w:p>
    <w:p>
      <w:r>
        <w:t>Responsable de ejecutar el Ticket Triage Agent y auditar su ejecución técnica.</w:t>
      </w:r>
    </w:p>
    <w:p>
      <w:r>
        <w:rPr>
          <w:b/>
        </w:rPr>
        <w:t>Posee</w:t>
      </w:r>
    </w:p>
    <w:p>
      <w:pPr>
        <w:pStyle w:val="ListBullet"/>
      </w:pPr>
      <w:r>
        <w:t>AgentExecutionAudit, incluyendo modelo/proveedor, versión de prompt o configuración, tokens, duración, resultado técnico y error cuando exista.</w:t>
      </w:r>
    </w:p>
    <w:p>
      <w:r>
        <w:rPr>
          <w:b/>
        </w:rPr>
        <w:t>Reglas</w:t>
      </w:r>
    </w:p>
    <w:p>
      <w:pPr>
        <w:pStyle w:val="ListBullet"/>
      </w:pPr>
      <w:r>
        <w:t>No es dueño de AiRecommendation. Genera la propuesta y la registra a través de la API de Ticket Service.</w:t>
      </w:r>
    </w:p>
    <w:p>
      <w:pPr>
        <w:pStyle w:val="ListBullet"/>
      </w:pPr>
      <w:r>
        <w:t>No modifica el aggregate Ticket. La aplicación de una recomendación requiere acción humana.</w:t>
      </w:r>
    </w:p>
    <w:p>
      <w:pPr>
        <w:pStyle w:val="Heading2"/>
      </w:pPr>
      <w:r>
        <w:t>Reporting Service</w:t>
      </w:r>
    </w:p>
    <w:p>
      <w:r>
        <w:t>Responsable de consultas y métricas derivadas.</w:t>
      </w:r>
    </w:p>
    <w:p>
      <w:r>
        <w:rPr>
          <w:b/>
        </w:rPr>
        <w:t>Posee</w:t>
      </w:r>
    </w:p>
    <w:p>
      <w:pPr>
        <w:pStyle w:val="ListBullet"/>
      </w:pPr>
      <w:r>
        <w:t>Read models y proyecciones para volumen, backlog, tiempos, equipos, categorías, prioridades y estados.</w:t>
      </w:r>
    </w:p>
    <w:p>
      <w:pPr>
        <w:pStyle w:val="ListBullet"/>
      </w:pPr>
      <w:r>
        <w:t>Metadatos de consumidor necesarios para idempotencia o reconstrucción.</w:t>
      </w:r>
    </w:p>
    <w:p>
      <w:r>
        <w:rPr>
          <w:b/>
        </w:rPr>
        <w:t>Reglas</w:t>
      </w:r>
    </w:p>
    <w:p>
      <w:pPr>
        <w:pStyle w:val="ListBullet"/>
      </w:pPr>
      <w:r>
        <w:t>Se alimenta de eventos de integración.</w:t>
      </w:r>
    </w:p>
    <w:p>
      <w:pPr>
        <w:pStyle w:val="ListBullet"/>
      </w:pPr>
      <w:r>
        <w:t>Nunca consulta la base transaccional de Ticket Service.</w:t>
      </w:r>
    </w:p>
    <w:p>
      <w:pPr>
        <w:pStyle w:val="Heading2"/>
      </w:pPr>
      <w:r>
        <w:t>React Frontend</w:t>
      </w:r>
    </w:p>
    <w:p>
      <w:r>
        <w:t>Cliente web del sistema.</w:t>
      </w:r>
    </w:p>
    <w:p>
      <w:r>
        <w:rPr>
          <w:b/>
        </w:rPr>
        <w:t>Posee</w:t>
      </w:r>
    </w:p>
    <w:p>
      <w:pPr>
        <w:pStyle w:val="ListBullet"/>
      </w:pPr>
      <w:r>
        <w:t>Estado efímero de UI, caché temporal y token de sesión según la estrategia de seguridad adoptada.</w:t>
      </w:r>
    </w:p>
    <w:p>
      <w:r>
        <w:rPr>
          <w:b/>
        </w:rPr>
        <w:t>Reglas</w:t>
      </w:r>
    </w:p>
    <w:p>
      <w:pPr>
        <w:pStyle w:val="ListBullet"/>
      </w:pPr>
      <w:r>
        <w:t>No posee datos de negocio autoritativos.</w:t>
      </w:r>
    </w:p>
    <w:p>
      <w:pPr>
        <w:pStyle w:val="ListBullet"/>
      </w:pPr>
      <w:r>
        <w:t>Nunca implementa reglas de transición o ownership que pertenezcan al backend.</w:t>
      </w:r>
    </w:p>
    <w:p>
      <w:pPr>
        <w:pStyle w:val="Heading2"/>
      </w:pPr>
      <w:r>
        <w:t>RabbitMQ</w:t>
      </w:r>
    </w:p>
    <w:p>
      <w:r>
        <w:t>Broker de integración.</w:t>
      </w:r>
    </w:p>
    <w:p>
      <w:r>
        <w:rPr>
          <w:b/>
        </w:rPr>
        <w:t>Reglas</w:t>
      </w:r>
    </w:p>
    <w:p>
      <w:pPr>
        <w:pStyle w:val="ListBullet"/>
      </w:pPr>
      <w:r>
        <w:t>Transporta eventos y comandos asíncronos cuando corresponda.</w:t>
      </w:r>
    </w:p>
    <w:p>
      <w:pPr>
        <w:pStyle w:val="ListBullet"/>
      </w:pPr>
      <w:r>
        <w:t>No se usa como base de datos, log histórico de negocio ni fuente de verdad.</w:t>
      </w:r>
    </w:p>
    <w:p>
      <w:pPr>
        <w:pStyle w:val="Heading1"/>
      </w:pPr>
      <w:r>
        <w:t>3. Matriz de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Dato / concepto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Fuente de verdad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Copias o consumidores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Vía permitida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Usuario, credenciales, roles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Identity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UserReference en Ticket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Identity API / eventos de integración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Equipo y membresías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Identity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TeamReference y TeamIds en Ticket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Eventos de identidad; API para administración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y lifecycle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Read models en Reporting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API; eventos de integración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Clasificación, Category, Subcategory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AI consulta por API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API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Handoff, comentarios, historial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Reporting deriva métricas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API; eventos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AiRecommendation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Ticket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AI genera la propuesta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AI escribe vía Ticket API; humano aplica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Auditoría técnica de IA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AI Agent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Ninguna requerida para negocio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Consulta operativa del propio servicio</w:t>
            </w:r>
          </w:p>
        </w:tc>
      </w:tr>
      <w:tr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Métricas y read models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Reporting Service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Frontend consume API</w:t>
            </w:r>
          </w:p>
        </w:tc>
        <w:tc>
          <w:tcPr>
            <w:tcW w:type="dxa" w:w="254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Reporting API</w:t>
            </w:r>
          </w:p>
        </w:tc>
      </w:tr>
    </w:tbl>
    <w:p>
      <w:pPr>
        <w:pStyle w:val="Heading1"/>
      </w:pPr>
      <w:r>
        <w:t>4. Flujos de sincronización</w:t>
      </w:r>
    </w:p>
    <w:p>
      <w:pPr>
        <w:pStyle w:val="Heading2"/>
      </w:pPr>
      <w:r>
        <w:t>4.1 Identity hacia Ticket</w:t>
      </w:r>
    </w:p>
    <w:p>
      <w:r>
        <w:t>Identity Service publica eventos versionados cuando cambia un usuario, un equipo o una membresía. Ticket Service actualiza UserReference y TeamReference. Si Ticket Service no puede demostrar localmente que un agente está activo y pertenece al equipo requerido, la asignación falla de forma segura hasta que la proyección se sincronice.</w:t>
      </w:r>
    </w:p>
    <w:p>
      <w:pPr>
        <w:pStyle w:val="Heading2"/>
      </w:pPr>
      <w:r>
        <w:t>4.2 Ticket hacia Reporting</w:t>
      </w:r>
    </w:p>
    <w:p>
      <w:r>
        <w:t>Ticket Service publica eventos mediante Transactional Outbox. Reporting Service consume eventos como TicketCreated, TicketClassified, TicketAssigned, HandoffAccepted, TicketResolved, TicketClosed y TicketReopened y actualiza sus read models de forma idempotente.</w:t>
      </w:r>
    </w:p>
    <w:p>
      <w:pPr>
        <w:pStyle w:val="Heading2"/>
      </w:pPr>
      <w:r>
        <w:t>4.3 Ticket y AI Agent Service</w:t>
      </w:r>
    </w:p>
    <w:p>
      <w:r>
        <w:t>TicketCreated puede iniciar el triage asíncrono. AI Agent Service obtiene contexto adicional por API autenticada cuando lo necesita y registra la recomendación mediante Ticket Service. Ticket Service conserva la recomendación como dato de dominio; AI Agent Service conserva únicamente la auditoría técnica de la ejecución.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65D"/>
              </w:rPr>
              <w:t xml:space="preserve">Decisión de infraestructura local. </w:t>
            </w:r>
            <w:r>
              <w:t>En desarrollo local se permite una sola instancia física de PostgreSQL para reducir consumo de recursos, siempre que Identity, Ticket, AI y Reporting utilicen bases lógicas y credenciales separadas. El aislamiento lógico sigue siendo obligatorio y la aplicación nunca usa joins entre servicios.</w:t>
            </w:r>
          </w:p>
        </w:tc>
      </w:tr>
    </w:tbl>
    <w:p/>
    <w:p>
      <w:pPr>
        <w:pStyle w:val="Heading1"/>
      </w:pPr>
      <w:r>
        <w:t>5. Criterios de revisión</w:t>
      </w:r>
    </w:p>
    <w:p>
      <w:pPr>
        <w:pStyle w:val="ListBullet"/>
      </w:pPr>
      <w:r>
        <w:t>Existe una única fuente de verdad para usuarios, equipos, tickets, recomendaciones de IA y métricas.</w:t>
      </w:r>
    </w:p>
    <w:p>
      <w:pPr>
        <w:pStyle w:val="ListBullet"/>
      </w:pPr>
      <w:r>
        <w:t>No existen escrituras ni lecturas SQL cruzadas entre servicios.</w:t>
      </w:r>
    </w:p>
    <w:p>
      <w:pPr>
        <w:pStyle w:val="ListBullet"/>
      </w:pPr>
      <w:r>
        <w:t>UserReference y TeamReference quedan definidos explícitamente como proyecciones locales.</w:t>
      </w:r>
    </w:p>
    <w:p>
      <w:pPr>
        <w:pStyle w:val="ListBullet"/>
      </w:pPr>
      <w:r>
        <w:t>AiRecommendation pertenece a Ticket Service; AgentExecutionAudit pertenece a AI Agent Service.</w:t>
      </w:r>
    </w:p>
    <w:p>
      <w:pPr>
        <w:pStyle w:val="ListBullet"/>
      </w:pPr>
      <w:r>
        <w:t>El modelo permite desplegar servicios y bases por separado sin rediseñar el dominio.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777777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777777"/>
        <w:sz w:val="18"/>
      </w:rPr>
      <w:t>ServiceDesk — Service and Data Ownership Boundaries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mbria" w:hAnsi="Cambria"/>
      <w:color w:val="1F1F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after="100"/>
      <w:ind w:left="288"/>
    </w:pPr>
    <w:rPr>
      <w:rFonts w:ascii="Cambria" w:hAnsi="Cambri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