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ServiceDesk</w:t>
      </w:r>
    </w:p>
    <w:p>
      <w:pPr>
        <w:jc w:val="center"/>
      </w:pPr>
      <w:r>
        <w:rPr>
          <w:rFonts w:ascii="Cambria" w:hAnsi="Cambria"/>
          <w:b/>
          <w:color w:val="17365D"/>
          <w:sz w:val="44"/>
        </w:rPr>
        <w:t>Physical Solution and Project Structure</w:t>
      </w:r>
    </w:p>
    <w:p>
      <w:pPr>
        <w:pStyle w:val="Subtitle"/>
        <w:jc w:val="center"/>
      </w:pPr>
      <w:r>
        <w:t>Estructura física propuesta del monorepo, proyectos .NET, frontend, tests e infraestructura</w:t>
      </w:r>
    </w:p>
    <w:p/>
    <w:p>
      <w:pPr>
        <w:jc w:val="center"/>
      </w:pPr>
      <w:r>
        <w:rPr>
          <w:rFonts w:ascii="Cambria" w:hAnsi="Cambria"/>
          <w:sz w:val="22"/>
        </w:rPr>
        <w:t>ACME</w:t>
        <w:br/>
        <w:t>Versión 0.1 | 16 de septiembre de 2026</w:t>
        <w:br/>
        <w:t>Estado: Borrador para revisión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Documento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ServiceDesk – Physical Solution and Project Structure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Versión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0.1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Fecha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16 de septiembre de 2026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Estado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Borrador para revisión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Tarea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Issue #10 — Define Physical Solution and Project Structure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Architecture Baseline v0.2; C4 Diagrams v0.2; ADRs propuestos v0.1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Propósito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Congelar la estructura del repositorio y reglas de dependencias para poder crear la solución sin reabrir decisiones de arquitectura.</w:t>
            </w:r>
          </w:p>
        </w:tc>
      </w:tr>
    </w:tbl>
    <w:p/>
    <w:p>
      <w:pPr>
        <w:pStyle w:val="Heading1"/>
      </w:pPr>
      <w:r>
        <w:t>1. Decisiones físicas</w:t>
      </w:r>
    </w:p>
    <w:p>
      <w:pPr>
        <w:pStyle w:val="ListNumber"/>
      </w:pPr>
      <w:r>
        <w:t>Se adopta un monorepo con una única solución ServiceDesk.slnx para todos los proyectos .NET.</w:t>
      </w:r>
    </w:p>
    <w:p>
      <w:pPr>
        <w:pStyle w:val="ListNumber"/>
      </w:pPr>
      <w:r>
        <w:t>Los servicios se organizan por bounded/service boundary, no por tipo técnico global.</w:t>
      </w:r>
    </w:p>
    <w:p>
      <w:pPr>
        <w:pStyle w:val="ListNumber"/>
      </w:pPr>
      <w:r>
        <w:t>Ticket Service usa cuatro proyectos porque contiene el dominio principal. Identity, AI y Reporting usan tres proyectos para evitar capas artificiales.</w:t>
      </w:r>
    </w:p>
    <w:p>
      <w:pPr>
        <w:pStyle w:val="ListNumber"/>
      </w:pPr>
      <w:r>
        <w:t>No existen referencias de proyecto entre servicios. Toda integración cruza la frontera mediante HTTP/JWT o eventos RabbitMQ.</w:t>
      </w:r>
    </w:p>
    <w:p>
      <w:pPr>
        <w:pStyle w:val="ListNumber"/>
      </w:pPr>
      <w:r>
        <w:t>No se crea un proyecto Shared/Common de negocio. Los building blocks solo se extraen después de existir repetición real y nunca contendrán entidades de dominio compartidas.</w:t>
      </w:r>
    </w:p>
    <w:p>
      <w:pPr>
        <w:pStyle w:val="ListNumber"/>
      </w:pPr>
      <w:r>
        <w:t>React + TypeScript vive dentro del mismo repositorio pero fuera de ServiceDesk.slnx.</w:t>
      </w:r>
    </w:p>
    <w:p>
      <w:pPr>
        <w:pStyle w:val="ListNumber"/>
      </w:pPr>
      <w:r>
        <w:t>En desarrollo local se usa una instancia de PostgreSQL con cuatro bases lógicas separadas y RabbitMQ en Docker Compose.</w:t>
      </w:r>
    </w:p>
    <w:p>
      <w:pPr>
        <w:pStyle w:val="Heading1"/>
      </w:pPr>
      <w:r>
        <w:t>2. Estructura propuesta del repositorio</w:t>
      </w:r>
    </w:p>
    <w:p>
      <w:r>
        <w:rPr>
          <w:rFonts w:ascii="DejaVu Sans Mono" w:hAnsi="DejaVu Sans Mono"/>
          <w:sz w:val="16"/>
        </w:rPr>
        <w:t>ServiceDesk/</w:t>
        <w:br/>
        <w:t>├── ServiceDesk.slnx</w:t>
        <w:br/>
        <w:t>├── global.json</w:t>
        <w:br/>
        <w:t>├── Directory.Build.props</w:t>
        <w:br/>
        <w:t>├── Directory.Packages.props</w:t>
        <w:br/>
        <w:t>├── .editorconfig</w:t>
        <w:br/>
        <w:t>├── .gitignore</w:t>
        <w:br/>
        <w:t>├── .env.example</w:t>
        <w:br/>
        <w:t>├── docker-compose.yml</w:t>
        <w:br/>
        <w:t>├── docker-compose.override.yml</w:t>
        <w:br/>
        <w:t>├── README.md</w:t>
        <w:br/>
        <w:t>├── src/</w:t>
        <w:br/>
        <w:t>│   ├── services/</w:t>
        <w:br/>
        <w:t>│   │   ├── Identity/</w:t>
        <w:br/>
        <w:t>│   │   │   ├── ServiceDesk.Identity.Api/</w:t>
        <w:br/>
        <w:t>│   │   │   ├── ServiceDesk.Identity.Application/</w:t>
        <w:br/>
        <w:t>│   │   │   └── ServiceDesk.Identity.Infrastructure/</w:t>
        <w:br/>
        <w:t>│   │   ├── Tickets/</w:t>
        <w:br/>
        <w:t>│   │   │   ├── ServiceDesk.Tickets.Api/</w:t>
        <w:br/>
        <w:t>│   │   │   ├── ServiceDesk.Tickets.Application/</w:t>
        <w:br/>
        <w:t>│   │   │   ├── ServiceDesk.Tickets.Domain/</w:t>
        <w:br/>
        <w:t>│   │   │   └── ServiceDesk.Tickets.Infrastructure/</w:t>
        <w:br/>
        <w:t>│   │   ├── AI/</w:t>
        <w:br/>
        <w:t>│   │   │   ├── ServiceDesk.AI.Worker/</w:t>
        <w:br/>
        <w:t>│   │   │   ├── ServiceDesk.AI.Application/</w:t>
        <w:br/>
        <w:t>│   │   │   └── ServiceDesk.AI.Infrastructure/</w:t>
        <w:br/>
        <w:t>│   │   └── Reporting/</w:t>
        <w:br/>
        <w:t>│   │       ├── ServiceDesk.Reporting.Api/</w:t>
        <w:br/>
        <w:t>│   │       ├── ServiceDesk.Reporting.Application/</w:t>
        <w:br/>
        <w:t>│   │       └── ServiceDesk.Reporting.Infrastructure/</w:t>
        <w:br/>
        <w:t>│   └── web/</w:t>
        <w:br/>
        <w:t>│       └── servicedesk-web/</w:t>
        <w:br/>
        <w:t>├── tests/</w:t>
        <w:br/>
        <w:t>│   ├── Identity/</w:t>
        <w:br/>
        <w:t>│   │   └── ServiceDesk.Identity.IntegrationTests/</w:t>
        <w:br/>
        <w:t>│   ├── Tickets/</w:t>
        <w:br/>
        <w:t>│   │   ├── ServiceDesk.Tickets.Domain.Tests/</w:t>
        <w:br/>
        <w:t>│   │   └── ServiceDesk.Tickets.IntegrationTests/</w:t>
        <w:br/>
        <w:t>│   ├── AI/</w:t>
        <w:br/>
        <w:t>│   │   └── ServiceDesk.AI.IntegrationTests/</w:t>
        <w:br/>
        <w:t>│   ├── Reporting/</w:t>
        <w:br/>
        <w:t>│   │   └── ServiceDesk.Reporting.IntegrationTests/</w:t>
        <w:br/>
        <w:t>│   └── E2E/</w:t>
        <w:br/>
        <w:t>│       └── ServiceDesk.E2E.Tests/</w:t>
        <w:br/>
        <w:t>├── infrastructure/</w:t>
        <w:br/>
        <w:t>│   ├── postgres/init/</w:t>
        <w:br/>
        <w:t>│   └── rabbitmq/</w:t>
        <w:br/>
        <w:t>├── docs/</w:t>
        <w:br/>
        <w:t>│   ├── architecture/</w:t>
        <w:br/>
        <w:t>│   │   ├── baselines/</w:t>
        <w:br/>
        <w:t>│   │   ├── c4/</w:t>
        <w:br/>
        <w:t>│   │   ├── adr/</w:t>
        <w:br/>
        <w:t>│   │   └── decisions/</w:t>
        <w:br/>
        <w:t>│   └── requirements/</w:t>
        <w:br/>
        <w:t>└── .github/</w:t>
        <w:br/>
        <w:t xml:space="preserve">    ├── workflows/</w:t>
        <w:br/>
        <w:t xml:space="preserve">    ├── ISSUE_TEMPLATE/</w:t>
        <w:br/>
        <w:t xml:space="preserve">    ├── copilot-instructions.md</w:t>
        <w:br/>
        <w:t xml:space="preserve">    └── agents/</w:t>
      </w:r>
    </w:p>
    <w:p>
      <w:pPr>
        <w:pStyle w:val="Heading1"/>
      </w:pPr>
      <w:r>
        <w:t>3. Responsabilidad de proyectos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Proyecto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ServiceDesk.Tickets.Domain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Entities, value objects, invariants, domain behavior and domain events. Cero dependencias de EF, HTTP, JWT, RabbitMQ o AI.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ServiceDesk.Tickets.Application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Use cases, commands/queries, interfaces de repositorio/gateways, autorización contextual de aplicación y orchestration.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ServiceDesk.Tickets.Infrastructure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EF Core/Npgsql, migrations, repositories, Outbox, RabbitMQ adapters, HTTP clients y projections de identidad.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ServiceDesk.Tickets.Api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Endpoints/controllers, authentication middleware, DI composition, request/response contracts y health checks.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ServiceDesk.Identity.Application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Casos de uso de identidad, roles, equipos y membresías; contratos de aplicación.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ServiceDesk.Identity.Infrastructure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ASP.NET Core Identity, EF Core/Npgsql, token services y publicación de eventos de identidad.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ServiceDesk.Identity.Api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Login, administración autorizada, endpoints M2M, DI y health checks.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ServiceDesk.AI.Application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Caso de uso de triage, contratos del agente, políticas de prompt/output y abstracciones de modelo/tools.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ServiceDesk.AI.Infrastructure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Proveedor LLM/SDK, RabbitMQ consumer, Ticket API client, persistencia de AgentExecutionAudit.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ServiceDesk.AI.Worker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Host de background processing, DI, health/telemetry y ciclo de consumidores.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ServiceDesk.Reporting.Application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Definición de proyecciones, queries y contratos de métricas.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ServiceDesk.Reporting.Infrastructure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Persistencia de read models, consumers RabbitMQ e idempotencia.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ServiceDesk.Reporting.Api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Endpoints de métricas/read models, auth, DI y health checks.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servicedesk-web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React + TypeScript. Routing, UI, API clients, auth state y componentes; sin reglas de dominio autoritativas.</w:t>
            </w:r>
          </w:p>
        </w:tc>
      </w:tr>
    </w:tbl>
    <w:p>
      <w:pPr>
        <w:pStyle w:val="Heading1"/>
      </w:pPr>
      <w:r>
        <w:t>4. Reglas de dependencias</w:t>
      </w:r>
    </w:p>
    <w:p>
      <w:pPr>
        <w:pStyle w:val="ListBullet"/>
      </w:pPr>
      <w:r>
        <w:t>Tickets.Domain no referencia ningún otro proyecto de la solución.</w:t>
      </w:r>
    </w:p>
    <w:p>
      <w:pPr>
        <w:pStyle w:val="ListBullet"/>
      </w:pPr>
      <w:r>
        <w:t>Tickets.Application referencia Tickets.Domain.</w:t>
      </w:r>
    </w:p>
    <w:p>
      <w:pPr>
        <w:pStyle w:val="ListBullet"/>
      </w:pPr>
      <w:r>
        <w:t>Tickets.Infrastructure referencia Tickets.Application y Tickets.Domain.</w:t>
      </w:r>
    </w:p>
    <w:p>
      <w:pPr>
        <w:pStyle w:val="ListBullet"/>
      </w:pPr>
      <w:r>
        <w:t>Tickets.Api referencia Tickets.Application y Tickets.Infrastructure. La composición de dependencias ocurre en Api.</w:t>
      </w:r>
    </w:p>
    <w:p>
      <w:pPr>
        <w:pStyle w:val="ListBullet"/>
      </w:pPr>
      <w:r>
        <w:t>Identity.Api → Identity.Application + Identity.Infrastructure; Identity.Infrastructure → Identity.Application.</w:t>
      </w:r>
    </w:p>
    <w:p>
      <w:pPr>
        <w:pStyle w:val="ListBullet"/>
      </w:pPr>
      <w:r>
        <w:t>AI.Worker → AI.Application + AI.Infrastructure; AI.Infrastructure → AI.Application.</w:t>
      </w:r>
    </w:p>
    <w:p>
      <w:pPr>
        <w:pStyle w:val="ListBullet"/>
      </w:pPr>
      <w:r>
        <w:t>Reporting.Api → Reporting.Application + Reporting.Infrastructure; Reporting.Infrastructure → Reporting.Application.</w:t>
      </w:r>
    </w:p>
    <w:p>
      <w:pPr>
        <w:pStyle w:val="ListBullet"/>
      </w:pPr>
      <w:r>
        <w:t>Ningún proyecto de un servicio referencia directamente proyectos de otro servicio.</w:t>
      </w:r>
    </w:p>
    <w:p>
      <w:pPr>
        <w:pStyle w:val="ListBullet"/>
      </w:pPr>
      <w:r>
        <w:t>Los tests pueden referenciar únicamente proyectos del servicio bajo prueba y test infrastructure explícita.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 xml:space="preserve">Regla anti-acoplamiento. </w:t>
            </w:r>
            <w:r>
              <w:t>No se creará un proyecto ServiceDesk.Shared o ServiceDesk.Common al inicio. Si dos o más servicios requieren la misma infraestructura estable, se evaluará un building block técnico pequeño. Nunca se compartirán aggregates, entidades EF ni modelos de dominio mediante una librería común.</w:t>
            </w:r>
          </w:p>
        </w:tc>
      </w:tr>
    </w:tbl>
    <w:p/>
    <w:p>
      <w:pPr>
        <w:pStyle w:val="Heading1"/>
      </w:pPr>
      <w:r>
        <w:t>5. Persistencia y migrations</w:t>
      </w:r>
    </w:p>
    <w:p>
      <w:pPr>
        <w:pStyle w:val="ListBullet"/>
      </w:pPr>
      <w:r>
        <w:t>IdentityDbContext vive en ServiceDesk.Identity.Infrastructure.</w:t>
      </w:r>
    </w:p>
    <w:p>
      <w:pPr>
        <w:pStyle w:val="ListBullet"/>
      </w:pPr>
      <w:r>
        <w:t>TicketDbContext vive en ServiceDesk.Tickets.Infrastructure.</w:t>
      </w:r>
    </w:p>
    <w:p>
      <w:pPr>
        <w:pStyle w:val="ListBullet"/>
      </w:pPr>
      <w:r>
        <w:t>AiAuditDbContext vive en ServiceDesk.AI.Infrastructure.</w:t>
      </w:r>
    </w:p>
    <w:p>
      <w:pPr>
        <w:pStyle w:val="ListBullet"/>
      </w:pPr>
      <w:r>
        <w:t>ReportingDbContext vive en ServiceDesk.Reporting.Infrastructure.</w:t>
      </w:r>
    </w:p>
    <w:p>
      <w:pPr>
        <w:pStyle w:val="ListBullet"/>
      </w:pPr>
      <w:r>
        <w:t>Cada DbContext mantiene sus propias migrations dentro de su proyecto Infrastructure.</w:t>
      </w:r>
    </w:p>
    <w:p>
      <w:pPr>
        <w:pStyle w:val="ListBullet"/>
      </w:pPr>
      <w:r>
        <w:t>Localmente una instancia PostgreSQL crea las bases servicedesk_identity, servicedesk_ticket, servicedesk_ai y servicedesk_reporting mediante infrastructure/postgres/init.</w:t>
      </w:r>
    </w:p>
    <w:p>
      <w:pPr>
        <w:pStyle w:val="ListBullet"/>
      </w:pPr>
      <w:r>
        <w:t>Cada servicio recibe una connection string propia; no se permite una connection string con privilegios sobre las cuatro bases en runtime.</w:t>
      </w:r>
    </w:p>
    <w:p>
      <w:pPr>
        <w:pStyle w:val="Heading1"/>
      </w:pPr>
      <w:r>
        <w:t>6. Testing baseline</w:t>
      </w:r>
    </w:p>
    <w:p>
      <w:pPr>
        <w:pStyle w:val="ListBullet"/>
      </w:pPr>
      <w:r>
        <w:t>Tickets.Domain.Tests es el primer proyecto de unit tests y protege invariantes del aggregate antes de implementar persistencia.</w:t>
      </w:r>
    </w:p>
    <w:p>
      <w:pPr>
        <w:pStyle w:val="ListBullet"/>
      </w:pPr>
      <w:r>
        <w:t>IntegrationTests validan API + PostgreSQL y, cuando aplique, RabbitMQ mediante infraestructura de pruebas.</w:t>
      </w:r>
    </w:p>
    <w:p>
      <w:pPr>
        <w:pStyle w:val="ListBullet"/>
      </w:pPr>
      <w:r>
        <w:t>AI integration tests deben poder sustituir el proveedor LLM por un fake/stub determinista para no depender de llamadas pagadas en CI.</w:t>
      </w:r>
    </w:p>
    <w:p>
      <w:pPr>
        <w:pStyle w:val="ListBullet"/>
      </w:pPr>
      <w:r>
        <w:t>E2E se incorpora cuando exista el primer vertical slice React → API → PostgreSQL; no bloquea la creación inicial de la solución.</w:t>
      </w:r>
    </w:p>
    <w:p>
      <w:pPr>
        <w:pStyle w:val="Heading1"/>
      </w:pPr>
      <w:r>
        <w:t>7. Archivos raíz y configuración</w:t>
      </w:r>
    </w:p>
    <w:p>
      <w:pPr>
        <w:pStyle w:val="ListBullet"/>
      </w:pPr>
      <w:r>
        <w:t>global.json fija la familia de .NET SDK usada por el repositorio.</w:t>
      </w:r>
    </w:p>
    <w:p>
      <w:pPr>
        <w:pStyle w:val="ListBullet"/>
      </w:pPr>
      <w:r>
        <w:t>Directory.Build.props contiene configuración común de compilación y analyzers.</w:t>
      </w:r>
    </w:p>
    <w:p>
      <w:pPr>
        <w:pStyle w:val="ListBullet"/>
      </w:pPr>
      <w:r>
        <w:t>Directory.Packages.props centraliza versiones NuGet mediante Central Package Management.</w:t>
      </w:r>
    </w:p>
    <w:p>
      <w:pPr>
        <w:pStyle w:val="ListBullet"/>
      </w:pPr>
      <w:r>
        <w:t>.env.example documenta variables sin contener secretos reales.</w:t>
      </w:r>
    </w:p>
    <w:p>
      <w:pPr>
        <w:pStyle w:val="ListBullet"/>
      </w:pPr>
      <w:r>
        <w:t>docker-compose.yml define servicios compartidos; docker-compose.override.yml contiene conveniencias de desarrollo local.</w:t>
      </w:r>
    </w:p>
    <w:p>
      <w:pPr>
        <w:pStyle w:val="ListBullet"/>
      </w:pPr>
      <w:r>
        <w:t>docs/architecture/adr contendrá los ADRs individuales una vez aprobados.</w:t>
      </w:r>
    </w:p>
    <w:p>
      <w:pPr>
        <w:pStyle w:val="Heading1"/>
      </w:pPr>
      <w:r>
        <w:t>8. Criterios de revisión</w:t>
      </w:r>
    </w:p>
    <w:p>
      <w:pPr>
        <w:pStyle w:val="ListBullet"/>
      </w:pPr>
      <w:r>
        <w:t>La estructura permite crear la solución y empezar código sin nuevas decisiones de carpetas o referencias.</w:t>
      </w:r>
    </w:p>
    <w:p>
      <w:pPr>
        <w:pStyle w:val="ListBullet"/>
      </w:pPr>
      <w:r>
        <w:t>El dominio de Ticket queda aislado de infraestructura.</w:t>
      </w:r>
    </w:p>
    <w:p>
      <w:pPr>
        <w:pStyle w:val="ListBullet"/>
      </w:pPr>
      <w:r>
        <w:t>No existen referencias de código entre servicios.</w:t>
      </w:r>
    </w:p>
    <w:p>
      <w:pPr>
        <w:pStyle w:val="ListBullet"/>
      </w:pPr>
      <w:r>
        <w:t>Frontend, tests, Docker, documentación y GitHub automation tienen ubicaciones explícitas.</w:t>
      </w:r>
    </w:p>
    <w:p>
      <w:pPr>
        <w:pStyle w:val="ListBullet"/>
      </w:pPr>
      <w:r>
        <w:t>La estructura evita capas innecesarias en Identity, AI y Reporting.</w:t>
      </w:r>
    </w:p>
    <w:p>
      <w:pPr>
        <w:pStyle w:val="ListBullet"/>
      </w:pPr>
      <w:r>
        <w:t>La solución sigue siendo suficientemente simple para un desarrollador único y un MVP de aprendizaje.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777777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777777"/>
        <w:sz w:val="18"/>
      </w:rPr>
      <w:t>ServiceDesk — Physical Solution and Project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/>
      <w:color w:val="1F1F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after="100"/>
      <w:ind w:left="288"/>
    </w:pPr>
    <w:rPr>
      <w:rFonts w:ascii="Cambria" w:hAnsi="Cambri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