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fisica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Nº:72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Data:2019-02-22 12:28:52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