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10.00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-1.00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Nº:21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Data:2019-04-17 19:16:51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