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RADUS RADIOLOGIA E MAMOGRAFIA SS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CNPJ: 29.637.502/0001-00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Fantasia: RADUS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Vereador Guilherme Niebuhr, 101 Sala 06, Centro, Brusque - SC, CEP:88350-110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DATA: 2020-01-30 11:55:07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13"/>
        <w:gridCol w:w="1922"/>
        <w:gridCol w:w="1937"/>
        <w:gridCol w:w="1361"/>
        <w:gridCol w:w="616"/>
        <w:gridCol w:w="1994"/>
      </w:tblGrid>
      <w:tr>
        <w:trPr/>
        <w:tc>
          <w:tcPr>
            <w:tcW w:w="703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Raio X</w:t>
            </w:r>
          </w:p>
        </w:tc>
      </w:tr>
      <w:tr>
        <w:trPr/>
        <w:tc>
          <w:tcPr>
            <w:tcW w:w="181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Contedodatabela"/>
              <w:shd w:val="clear" w:fill="DEE6EF"/>
              <w:spacing w:before="171" w:after="17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PATRIMÔMIO</w:t>
            </w:r>
          </w:p>
        </w:tc>
      </w:tr>
      <w:tr>
        <w:trPr/>
        <w:tc>
          <w:tcPr>
            <w:tcW w:w="1813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TECNO DESIGN</w:t>
            </w:r>
          </w:p>
        </w:tc>
        <w:tc>
          <w:tcPr>
            <w:tcW w:w="1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TD500HF</w:t>
            </w:r>
          </w:p>
        </w:tc>
        <w:tc>
          <w:tcPr>
            <w:tcW w:w="19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18004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projetado de acordo com as Normas DIN 6868-58 e DIN 6868-13.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SEMANAL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semanal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Tolerância: Item 39(e)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Item 39(e).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1.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tbl>
      <w:tblPr>
        <w:tblW w:w="9695" w:type="dxa"/>
        <w:jc w:val="left"/>
        <w:tblInd w:w="0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605"/>
        <w:gridCol w:w="2331"/>
        <w:gridCol w:w="2319"/>
        <w:gridCol w:w="2439"/>
      </w:tblGrid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</w:tr>
      <w:tr>
        <w:trPr>
          <w:trHeight w:val="404" w:hRule="atLeast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</w:tbl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 Para Resolução Espacial:</w:t>
      </w:r>
    </w:p>
    <w:p>
      <w:pPr>
        <w:pStyle w:val="SemEspaamento1"/>
        <w:numPr>
          <w:ilvl w:val="0"/>
          <w:numId w:val="0"/>
        </w:numPr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Tolerância:  ≥ 2,5 pl/mm.  Nível de Suspensão: &lt; 1,5pl/mm.</w:t>
      </w:r>
    </w:p>
    <w:p>
      <w:pPr>
        <w:pStyle w:val="SemEspaamento1"/>
        <w:numPr>
          <w:ilvl w:val="0"/>
          <w:numId w:val="0"/>
        </w:numPr>
        <w:spacing w:before="0" w:after="200"/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Resolução Normativa Nº 002/DIVS/SES de18/05/2015, Tabela 1.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EXATIDÃO DO SISTEMA DE COLIMAÇÃO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Periodicidade: Teste de aceitação, semanal ou após reparos.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 </w:t>
      </w:r>
      <w:r>
        <w:rPr>
          <w:rFonts w:eastAsia="Liberation Serif" w:cs="Liberation Serif"/>
          <w:color w:val="000000"/>
          <w:sz w:val="20"/>
          <w:szCs w:val="20"/>
        </w:rPr>
        <w:t>≤</w:t>
      </w:r>
      <w:r>
        <w:rPr>
          <w:rFonts w:eastAsia="Noto Sans CJK SC" w:cs="Lohit Devanagari"/>
          <w:color w:val="000000"/>
          <w:sz w:val="20"/>
          <w:szCs w:val="20"/>
        </w:rPr>
        <w:t xml:space="preserve"> 2% da Distância Foco-Pele.</w:t>
      </w:r>
    </w:p>
    <w:p>
      <w:pPr>
        <w:pStyle w:val="Contedodoquadro"/>
        <w:spacing w:before="0" w:after="0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eastAsia="Noto Sans CJK SC" w:cs="Lohit Devanagari"/>
          <w:color w:val="000000"/>
          <w:sz w:val="20"/>
          <w:szCs w:val="20"/>
        </w:rPr>
        <w:t xml:space="preserve">Nível de Suspensão: </w:t>
      </w:r>
      <w:r>
        <w:rPr>
          <w:rFonts w:eastAsia="Liberation Serif" w:cs="Liberation Serif"/>
          <w:color w:val="000000"/>
          <w:sz w:val="20"/>
          <w:szCs w:val="20"/>
        </w:rPr>
        <w:t>≥</w:t>
      </w:r>
      <w:r>
        <w:rPr>
          <w:rFonts w:eastAsia="Noto Sans CJK SC" w:cs="Lohit Devanagari"/>
          <w:color w:val="000000"/>
          <w:sz w:val="20"/>
          <w:szCs w:val="20"/>
        </w:rPr>
        <w:t xml:space="preserve"> 4%.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 002/DIVS/SES de18/05/2015, Tabela 1.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</w:t>
      </w:r>
    </w:p>
    <w:p>
      <w:pPr>
        <w:pStyle w:val="SemEspaamento1"/>
        <w:spacing w:before="0" w:after="200"/>
        <w:ind w:left="-993" w:right="-994" w:hanging="0"/>
        <w:rPr>
          <w:rFonts w:ascii="Liberation Serif" w:hAnsi="Liberation Serif"/>
          <w:b/>
          <w:b/>
          <w:bCs/>
          <w:color w:val="595959"/>
          <w:sz w:val="20"/>
          <w:szCs w:val="20"/>
        </w:rPr>
      </w:pPr>
      <w:r>
        <w:rPr>
          <w:rFonts w:ascii="Liberation Serif" w:hAnsi="Liberation Serif"/>
          <w:b/>
          <w:bCs/>
          <w:color w:val="595959"/>
          <w:sz w:val="20"/>
          <w:szCs w:val="20"/>
        </w:rPr>
      </w:r>
    </w:p>
    <w:tbl>
      <w:tblPr>
        <w:tblW w:w="9638" w:type="dxa"/>
        <w:jc w:val="left"/>
        <w:tblInd w:w="0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5"/>
        <w:gridCol w:w="1928"/>
        <w:gridCol w:w="1926"/>
        <w:gridCol w:w="1928"/>
        <w:gridCol w:w="1"/>
        <w:gridCol w:w="1930"/>
      </w:tblGrid>
      <w:tr>
        <w:trPr/>
        <w:tc>
          <w:tcPr>
            <w:tcW w:w="192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Tensão [kVp]</w:t>
            </w:r>
          </w:p>
        </w:tc>
        <w:tc>
          <w:tcPr>
            <w:tcW w:w="192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3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19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Corrente Tempo [mAs]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 w:val="false"/>
                <w:bCs w:val="false"/>
                <w:color w:val="000000"/>
                <w:sz w:val="20"/>
                <w:szCs w:val="20"/>
              </w:rPr>
              <w:t>2.00</w:t>
            </w:r>
          </w:p>
        </w:tc>
      </w:tr>
      <w:tr>
        <w:trPr/>
        <w:tc>
          <w:tcPr>
            <w:tcW w:w="192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2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2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[cm]</w:t>
            </w:r>
          </w:p>
        </w:tc>
      </w:tr>
      <w:tr>
        <w:trPr/>
        <w:tc>
          <w:tcPr>
            <w:tcW w:w="192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2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2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</w:tr>
      <w:tr>
        <w:trPr/>
        <w:tc>
          <w:tcPr>
            <w:tcW w:w="192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2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8.00</w:t>
            </w:r>
          </w:p>
        </w:tc>
        <w:tc>
          <w:tcPr>
            <w:tcW w:w="192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6.00</w:t>
            </w:r>
          </w:p>
        </w:tc>
        <w:tc>
          <w:tcPr>
            <w:tcW w:w="192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8.00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7.50</w:t>
            </w:r>
          </w:p>
        </w:tc>
      </w:tr>
      <w:tr>
        <w:trPr/>
        <w:tc>
          <w:tcPr>
            <w:tcW w:w="192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 xml:space="preserve">Erro </w:t>
            </w:r>
          </w:p>
        </w:tc>
        <w:tc>
          <w:tcPr>
            <w:tcW w:w="192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92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-0.50</w:t>
            </w:r>
          </w:p>
        </w:tc>
        <w:tc>
          <w:tcPr>
            <w:tcW w:w="192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1.00</w:t>
            </w:r>
          </w:p>
        </w:tc>
      </w:tr>
      <w:tr>
        <w:trPr/>
        <w:tc>
          <w:tcPr>
            <w:tcW w:w="192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3" w:type="dxa"/>
            <w:gridSpan w:val="5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</w:tbl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>
        <w:br w:type="page"/>
      </w:r>
    </w:p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 | PARECER TÉCNICO</w:t>
      </w:r>
    </w:p>
    <w:p>
      <w:pPr>
        <w:pStyle w:val="Contedodoquadro"/>
        <w:spacing w:before="0" w:after="200"/>
        <w:jc w:val="both"/>
        <w:rPr>
          <w:rFonts w:ascii="Liberation Serif" w:hAnsi="Liberation Serif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</w:rPr>
        <w:t>Segundo a Resolução Normativa N° 002/DIVS/SES (ERRATA Publicada no DOE/SC N° 20.654 de 13/11/2017) e RDC 330 ANVISA de 20 de dezembro de 2019, todos os testes realizados apresentaram conformidade. Sendo assim o equipamento avaliado pode operar com legitima observação e cuidados em relação a radioproteção.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semana;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local;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3) Manter a limpeza dos IP’s conforme orientação do fabricante.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posOffset>2110105</wp:posOffset>
            </wp:positionH>
            <wp:positionV relativeFrom="paragraph">
              <wp:posOffset>-59690</wp:posOffset>
            </wp:positionV>
            <wp:extent cx="1899920" cy="1036320"/>
            <wp:effectExtent l="0" t="0" r="0" b="0"/>
            <wp:wrapSquare wrapText="largest"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Supervisor em Radioproteção CNEN MN 0351</w:t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19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Roboto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3"/>
      <w:gridCol w:w="2735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3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CONTROLE DE QUALIDADE SEMANAL DE RAIO X</w:t>
          </w:r>
        </w:p>
      </w:tc>
      <w:tc>
        <w:tcPr>
          <w:tcW w:w="2735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1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3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5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 </w:t>
          </w:r>
          <w:r>
            <w:rPr/>
            <w:t>REL Nº:CMM104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ListLabel1">
    <w:name w:val="ListLabel 1"/>
    <w:qFormat/>
    <w:rPr>
      <w:rFonts w:ascii="Roboto Light" w:hAnsi="Roboto Light" w:cs="Wingdings"/>
      <w:sz w:val="13"/>
    </w:rPr>
  </w:style>
  <w:style w:type="character" w:styleId="ListLabel2">
    <w:name w:val="ListLabel 2"/>
    <w:qFormat/>
    <w:rPr>
      <w:rFonts w:cs="Wingdings"/>
      <w:sz w:val="13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SemEspaamento1">
    <w:name w:val="Sem Espaçamento1"/>
    <w:qFormat/>
    <w:pPr>
      <w:widowControl/>
      <w:overflowPunct w:val="fals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87</TotalTime>
  <Application>LibreOffice/6.0.7.3$Linux_X86_64 LibreOffice_project/00m0$Build-3</Application>
  <Pages>3</Pages>
  <Words>491</Words>
  <Characters>3044</Characters>
  <CharactersWithSpaces>3455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2020-02-11T10:56:42Z</dcterms:modified>
  <cp:revision>14</cp:revision>
  <dc:subject/>
  <dc:title/>
</cp:coreProperties>
</file>