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2020-08-24 08:45:46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MULTIX B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1217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44.00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4.00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Nº:CMM207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