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2020-09-10 14:43:06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-0.45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6.64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-0.34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664.45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7.77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664.45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7.63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664.45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664.45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664.45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7.74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-998.93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-3.68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-99.53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-997.70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-2.45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-99.53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-995.25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-99.53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-993.28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-99.53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-991.41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-99.53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-991.41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-997.70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-2.45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-995.25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-993.28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400.54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-991.41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